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13" w:rsidRDefault="00C47B43" w:rsidP="00954110">
      <w:pPr>
        <w:pStyle w:val="Title"/>
      </w:pPr>
      <w:r>
        <w:t>E</w:t>
      </w:r>
      <w:r w:rsidR="00C44923">
        <w:t xml:space="preserve">arly Learning Hub </w:t>
      </w:r>
      <w:r w:rsidRPr="00C47B43">
        <w:rPr>
          <w:sz w:val="28"/>
          <w:szCs w:val="28"/>
        </w:rPr>
        <w:t>of Linn, Benton &amp; Lincoln Counties</w:t>
      </w:r>
    </w:p>
    <w:p w:rsidR="00954110" w:rsidRDefault="004263B1" w:rsidP="00954110">
      <w:pPr>
        <w:pStyle w:val="Title"/>
      </w:pPr>
      <w:r>
        <w:t>Data &amp; Evaluation</w:t>
      </w:r>
      <w:r w:rsidR="00E711B2">
        <w:t xml:space="preserve"> </w:t>
      </w:r>
      <w:r w:rsidR="00B91630">
        <w:t>Work Group</w:t>
      </w:r>
      <w:r w:rsidR="00BB2C65">
        <w:t xml:space="preserve"> </w:t>
      </w:r>
      <w:r w:rsidR="00C44923">
        <w:t>Meeting</w:t>
      </w:r>
      <w:r w:rsidR="007D4513">
        <w:t xml:space="preserve"> Minutes</w:t>
      </w:r>
    </w:p>
    <w:p w:rsidR="00C44923" w:rsidRPr="00C44923" w:rsidRDefault="00C44923" w:rsidP="00C44923">
      <w:pPr>
        <w:ind w:left="0"/>
      </w:pPr>
    </w:p>
    <w:p w:rsidR="00954110" w:rsidRDefault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730"/>
      </w:tblGrid>
      <w:tr w:rsidR="00750790" w:rsidRPr="00692553" w:rsidTr="00BB2C65">
        <w:trPr>
          <w:trHeight w:val="360"/>
        </w:trPr>
        <w:tc>
          <w:tcPr>
            <w:tcW w:w="234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0790" w:rsidRPr="00E3497E" w:rsidRDefault="00750790" w:rsidP="00954110">
            <w:pPr>
              <w:pStyle w:val="Heading3"/>
              <w:rPr>
                <w:sz w:val="20"/>
                <w:szCs w:val="20"/>
              </w:rPr>
            </w:pPr>
            <w:r w:rsidRPr="00E3497E">
              <w:rPr>
                <w:sz w:val="20"/>
                <w:szCs w:val="20"/>
              </w:rPr>
              <w:t>MEETING COMMENCED</w:t>
            </w:r>
          </w:p>
        </w:tc>
        <w:tc>
          <w:tcPr>
            <w:tcW w:w="774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7D4513" w:rsidRDefault="00EA5C91" w:rsidP="007C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2:00pm, April 26, 2018</w:t>
            </w:r>
          </w:p>
          <w:p w:rsidR="00EA5C91" w:rsidRPr="00E3497E" w:rsidRDefault="00EA5C91" w:rsidP="007C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LBL-ESD, Albany</w:t>
            </w:r>
          </w:p>
        </w:tc>
      </w:tr>
      <w:tr w:rsidR="0085168B" w:rsidRPr="00692553" w:rsidTr="00BB2C65">
        <w:trPr>
          <w:trHeight w:val="360"/>
        </w:trPr>
        <w:tc>
          <w:tcPr>
            <w:tcW w:w="234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E3497E" w:rsidRDefault="00E60E43" w:rsidP="00954110">
            <w:pPr>
              <w:pStyle w:val="Heading3"/>
              <w:rPr>
                <w:sz w:val="20"/>
                <w:szCs w:val="20"/>
              </w:rPr>
            </w:pPr>
            <w:r w:rsidRPr="00E3497E">
              <w:rPr>
                <w:sz w:val="20"/>
                <w:szCs w:val="20"/>
              </w:rPr>
              <w:t>Meeting called by</w:t>
            </w:r>
          </w:p>
        </w:tc>
        <w:tc>
          <w:tcPr>
            <w:tcW w:w="774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E3497E" w:rsidRDefault="00EA5C91" w:rsidP="0007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Hall</w:t>
            </w:r>
          </w:p>
        </w:tc>
      </w:tr>
      <w:tr w:rsidR="0085168B" w:rsidRPr="00692553" w:rsidTr="00BB2C65">
        <w:trPr>
          <w:trHeight w:val="360"/>
        </w:trPr>
        <w:tc>
          <w:tcPr>
            <w:tcW w:w="2345" w:type="dxa"/>
            <w:shd w:val="clear" w:color="auto" w:fill="F2F2F2" w:themeFill="background1" w:themeFillShade="F2"/>
            <w:vAlign w:val="center"/>
          </w:tcPr>
          <w:p w:rsidR="0085168B" w:rsidRPr="00E3497E" w:rsidRDefault="0037040C" w:rsidP="00BB2C65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  <w:r w:rsidR="00BB2C65">
              <w:rPr>
                <w:sz w:val="20"/>
                <w:szCs w:val="20"/>
              </w:rPr>
              <w:t>WORK GROUP</w:t>
            </w:r>
            <w:r w:rsidR="00C44923" w:rsidRPr="00E3497E">
              <w:rPr>
                <w:sz w:val="20"/>
                <w:szCs w:val="20"/>
              </w:rPr>
              <w:t xml:space="preserve"> members </w:t>
            </w:r>
            <w:r w:rsidR="00BB2C65">
              <w:rPr>
                <w:sz w:val="20"/>
                <w:szCs w:val="20"/>
              </w:rPr>
              <w:t>PRESENT</w:t>
            </w:r>
          </w:p>
        </w:tc>
        <w:tc>
          <w:tcPr>
            <w:tcW w:w="7745" w:type="dxa"/>
            <w:shd w:val="clear" w:color="auto" w:fill="auto"/>
            <w:vAlign w:val="center"/>
          </w:tcPr>
          <w:p w:rsidR="0085168B" w:rsidRPr="00E3497E" w:rsidRDefault="00EA5C91" w:rsidP="00FC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Jerri Wolfe, Rich Waller, Alicia </w:t>
            </w:r>
            <w:proofErr w:type="spellStart"/>
            <w:r>
              <w:rPr>
                <w:sz w:val="20"/>
                <w:szCs w:val="20"/>
              </w:rPr>
              <w:t>Lucke</w:t>
            </w:r>
            <w:proofErr w:type="spellEnd"/>
            <w:r>
              <w:rPr>
                <w:sz w:val="20"/>
                <w:szCs w:val="20"/>
              </w:rPr>
              <w:t xml:space="preserve">, Lucy </w:t>
            </w:r>
            <w:proofErr w:type="spellStart"/>
            <w:r>
              <w:rPr>
                <w:sz w:val="20"/>
                <w:szCs w:val="20"/>
              </w:rPr>
              <w:t>Kozii</w:t>
            </w:r>
            <w:proofErr w:type="spellEnd"/>
          </w:p>
        </w:tc>
      </w:tr>
      <w:tr w:rsidR="009364B8" w:rsidRPr="00692553" w:rsidTr="00BB2C65">
        <w:trPr>
          <w:trHeight w:val="360"/>
        </w:trPr>
        <w:tc>
          <w:tcPr>
            <w:tcW w:w="2345" w:type="dxa"/>
            <w:shd w:val="clear" w:color="auto" w:fill="F2F2F2" w:themeFill="background1" w:themeFillShade="F2"/>
            <w:vAlign w:val="center"/>
          </w:tcPr>
          <w:p w:rsidR="009364B8" w:rsidRPr="00E3497E" w:rsidRDefault="009364B8" w:rsidP="00954110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</w:t>
            </w:r>
          </w:p>
        </w:tc>
        <w:tc>
          <w:tcPr>
            <w:tcW w:w="7745" w:type="dxa"/>
            <w:shd w:val="clear" w:color="auto" w:fill="auto"/>
            <w:vAlign w:val="center"/>
          </w:tcPr>
          <w:p w:rsidR="009364B8" w:rsidRPr="00E3497E" w:rsidRDefault="007C1D20" w:rsidP="0052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</w:t>
            </w:r>
          </w:p>
        </w:tc>
      </w:tr>
    </w:tbl>
    <w:p w:rsidR="007D4513" w:rsidRDefault="007D4513" w:rsidP="00954110">
      <w:pPr>
        <w:pStyle w:val="Heading2"/>
      </w:pPr>
    </w:p>
    <w:p w:rsidR="00954110" w:rsidRDefault="00954110" w:rsidP="00954110">
      <w:pPr>
        <w:pStyle w:val="Heading2"/>
        <w:rPr>
          <w:b/>
          <w:sz w:val="28"/>
          <w:szCs w:val="28"/>
        </w:rPr>
      </w:pPr>
      <w:r w:rsidRPr="00E3497E">
        <w:rPr>
          <w:b/>
          <w:sz w:val="28"/>
          <w:szCs w:val="28"/>
        </w:rPr>
        <w:t>Agenda topics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730"/>
      </w:tblGrid>
      <w:tr w:rsidR="00525470" w:rsidRPr="00E3497E" w:rsidTr="001A29AC">
        <w:trPr>
          <w:trHeight w:val="288"/>
        </w:trPr>
        <w:tc>
          <w:tcPr>
            <w:tcW w:w="234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25470" w:rsidRPr="00E3497E" w:rsidRDefault="00525470" w:rsidP="00B51E67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E3497E">
              <w:rPr>
                <w:rFonts w:cstheme="minorHAnsi"/>
                <w:sz w:val="20"/>
                <w:szCs w:val="20"/>
              </w:rPr>
              <w:t>DISCUSSION ITEM</w:t>
            </w:r>
          </w:p>
        </w:tc>
        <w:tc>
          <w:tcPr>
            <w:tcW w:w="7730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525470" w:rsidRPr="00E3497E" w:rsidRDefault="00741E34" w:rsidP="003704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Preliminary Analysis: 2013-2014 KA Scores Matched with 2016-2017 3</w:t>
            </w:r>
            <w:r w:rsidRPr="00741E34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Grade Reading Scores</w:t>
            </w:r>
          </w:p>
        </w:tc>
      </w:tr>
      <w:tr w:rsidR="00525470" w:rsidRPr="00E3497E" w:rsidTr="001A29AC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525470" w:rsidRPr="00741E34" w:rsidRDefault="00741E34" w:rsidP="00741E34">
            <w:pPr>
              <w:rPr>
                <w:rFonts w:cstheme="minorHAnsi"/>
                <w:sz w:val="20"/>
                <w:szCs w:val="20"/>
              </w:rPr>
            </w:pPr>
            <w:r w:rsidRPr="00741E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Lucy presents the Analysis of 3rd Grade Reading Scores and KA Scores Association document.</w:t>
            </w:r>
          </w:p>
        </w:tc>
      </w:tr>
      <w:tr w:rsidR="00525470" w:rsidRPr="00E3497E" w:rsidTr="001A29AC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525470" w:rsidRPr="00741E34" w:rsidRDefault="00741E34" w:rsidP="00741E34">
            <w:pPr>
              <w:rPr>
                <w:rFonts w:cstheme="minorHAnsi"/>
                <w:sz w:val="20"/>
                <w:szCs w:val="20"/>
              </w:rPr>
            </w:pPr>
            <w:r w:rsidRPr="00741E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She agrees to add scales for clarification.</w:t>
            </w:r>
          </w:p>
        </w:tc>
      </w:tr>
      <w:tr w:rsidR="0017005F" w:rsidRPr="00E3497E" w:rsidTr="001A29AC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17005F" w:rsidRPr="00741E34" w:rsidRDefault="00741E34" w:rsidP="00BE3F9F">
            <w:pPr>
              <w:rPr>
                <w:rFonts w:cstheme="minorHAnsi"/>
                <w:sz w:val="20"/>
                <w:szCs w:val="20"/>
              </w:rPr>
            </w:pPr>
            <w:r w:rsidRPr="00741E34">
              <w:rPr>
                <w:rFonts w:cstheme="minorHAnsi"/>
                <w:sz w:val="20"/>
                <w:szCs w:val="20"/>
              </w:rPr>
              <w:t>I</w:t>
            </w:r>
            <w:r w:rsidRPr="00741E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f we analyze data county by county, we can potentially track connections, such as </w:t>
            </w:r>
            <w:r w:rsidR="00BE3F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correlation between </w:t>
            </w:r>
            <w:r w:rsidRPr="00741E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low reading scores for boys </w:t>
            </w:r>
            <w:r w:rsidR="00BE3F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 possible maturity in 3rd grade or</w:t>
            </w:r>
            <w:r w:rsidRPr="00741E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if boys in certain areas do </w:t>
            </w:r>
            <w:proofErr w:type="gramStart"/>
            <w:r w:rsidRPr="00741E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better</w:t>
            </w:r>
            <w:proofErr w:type="gramEnd"/>
            <w:r w:rsidRPr="00741E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based on school district</w:t>
            </w:r>
            <w:r w:rsidR="00BE3F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741E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We can create targeted questions</w:t>
            </w:r>
            <w:r w:rsidR="00BE3F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7005F" w:rsidRPr="00E3497E" w:rsidTr="001A29AC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17005F" w:rsidRPr="00741E34" w:rsidRDefault="00741E34" w:rsidP="00741E34">
            <w:pPr>
              <w:rPr>
                <w:rFonts w:cstheme="minorHAnsi"/>
                <w:sz w:val="20"/>
                <w:szCs w:val="20"/>
              </w:rPr>
            </w:pPr>
            <w:r w:rsidRPr="00741E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Pull data on Latino reading scores, as well.</w:t>
            </w:r>
          </w:p>
        </w:tc>
      </w:tr>
    </w:tbl>
    <w:p w:rsidR="00525470" w:rsidRDefault="00525470" w:rsidP="00525470"/>
    <w:p w:rsidR="0017005F" w:rsidRDefault="0017005F" w:rsidP="00525470"/>
    <w:p w:rsidR="0017005F" w:rsidRDefault="0017005F" w:rsidP="0052547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730"/>
      </w:tblGrid>
      <w:tr w:rsidR="0017005F" w:rsidRPr="00E3497E" w:rsidTr="003C7756">
        <w:trPr>
          <w:trHeight w:val="288"/>
        </w:trPr>
        <w:tc>
          <w:tcPr>
            <w:tcW w:w="234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7005F" w:rsidRPr="00E3497E" w:rsidRDefault="0017005F" w:rsidP="003C7756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E3497E">
              <w:rPr>
                <w:rFonts w:cstheme="minorHAnsi"/>
                <w:sz w:val="20"/>
                <w:szCs w:val="20"/>
              </w:rPr>
              <w:t>DISCUSSION ITEM</w:t>
            </w:r>
          </w:p>
        </w:tc>
        <w:tc>
          <w:tcPr>
            <w:tcW w:w="7730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17005F" w:rsidRPr="00E3497E" w:rsidRDefault="00691C6E" w:rsidP="003C77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Book</w:t>
            </w:r>
          </w:p>
        </w:tc>
      </w:tr>
      <w:tr w:rsidR="0017005F" w:rsidRPr="00E3497E" w:rsidTr="003C7756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17005F" w:rsidRPr="0092294E" w:rsidRDefault="00691C6E" w:rsidP="00691C6E">
            <w:pPr>
              <w:rPr>
                <w:rFonts w:cstheme="minorHAnsi"/>
                <w:sz w:val="20"/>
                <w:szCs w:val="20"/>
              </w:rPr>
            </w:pPr>
            <w:r w:rsidRPr="009229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group chooses to define urban and rural areas based on the Oregon Office of Rural Health definitions and city listing.</w:t>
            </w:r>
          </w:p>
        </w:tc>
      </w:tr>
      <w:tr w:rsidR="0017005F" w:rsidRPr="00E3497E" w:rsidTr="003C7756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17005F" w:rsidRPr="0092294E" w:rsidRDefault="00691C6E" w:rsidP="00BE3F9F">
            <w:pPr>
              <w:rPr>
                <w:rFonts w:cstheme="minorHAnsi"/>
                <w:sz w:val="20"/>
                <w:szCs w:val="20"/>
              </w:rPr>
            </w:pPr>
            <w:r w:rsidRPr="009229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These definitions differ from the census definitions; the group will consider putting a disclaimer in the Data Book. Further </w:t>
            </w:r>
            <w:r w:rsidR="00BE3F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discussion</w:t>
            </w:r>
            <w:bookmarkStart w:id="0" w:name="_GoBack"/>
            <w:bookmarkEnd w:id="0"/>
            <w:r w:rsidRPr="009229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might be necessary should the Oregon Office of Rural Health definitions not satisfy outside entities.</w:t>
            </w:r>
          </w:p>
        </w:tc>
      </w:tr>
      <w:tr w:rsidR="0017005F" w:rsidRPr="00E3497E" w:rsidTr="003C7756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17005F" w:rsidRPr="0092294E" w:rsidRDefault="00691C6E" w:rsidP="00691C6E">
            <w:pPr>
              <w:rPr>
                <w:rFonts w:cstheme="minorHAnsi"/>
                <w:sz w:val="20"/>
                <w:szCs w:val="20"/>
              </w:rPr>
            </w:pPr>
            <w:r w:rsidRPr="009229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Lynn presents the Information Workbook</w:t>
            </w:r>
            <w:r w:rsidRPr="009229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document for revision and discussion.</w:t>
            </w:r>
          </w:p>
        </w:tc>
      </w:tr>
      <w:tr w:rsidR="0017005F" w:rsidRPr="00E3497E" w:rsidTr="003C7756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17005F" w:rsidRPr="0092294E" w:rsidRDefault="00691C6E" w:rsidP="00691C6E">
            <w:pPr>
              <w:rPr>
                <w:rFonts w:cstheme="minorHAnsi"/>
                <w:sz w:val="20"/>
                <w:szCs w:val="20"/>
              </w:rPr>
            </w:pPr>
            <w:r w:rsidRPr="009229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Lynn presents the Hub KA Scores Schools 2013-2018 document.</w:t>
            </w:r>
          </w:p>
        </w:tc>
      </w:tr>
      <w:tr w:rsidR="0017005F" w:rsidRPr="00E3497E" w:rsidTr="003C7756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17005F" w:rsidRPr="0092294E" w:rsidRDefault="00691C6E" w:rsidP="00691C6E">
            <w:pPr>
              <w:shd w:val="clear" w:color="auto" w:fill="FFFFFF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691C6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Lynn presents the Combined KA data document.</w:t>
            </w:r>
          </w:p>
        </w:tc>
      </w:tr>
      <w:tr w:rsidR="0092294E" w:rsidRPr="00E3497E" w:rsidTr="003C7756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92294E" w:rsidRPr="0092294E" w:rsidRDefault="0092294E" w:rsidP="00691C6E">
            <w:pPr>
              <w:shd w:val="clear" w:color="auto" w:fill="FFFFFF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92294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Next Steps:</w:t>
            </w:r>
          </w:p>
        </w:tc>
      </w:tr>
      <w:tr w:rsidR="0092294E" w:rsidRPr="00E3497E" w:rsidTr="003C7756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92294E" w:rsidRPr="0092294E" w:rsidRDefault="0092294E" w:rsidP="0092294E">
            <w:pPr>
              <w:shd w:val="clear" w:color="auto" w:fill="FFFFFF"/>
              <w:ind w:left="72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9229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Alicia agrees to reach out to United Way regarding multi-generational poverty.</w:t>
            </w:r>
          </w:p>
        </w:tc>
      </w:tr>
      <w:tr w:rsidR="0092294E" w:rsidRPr="00E3497E" w:rsidTr="003C7756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92294E" w:rsidRPr="0092294E" w:rsidRDefault="0092294E" w:rsidP="0092294E">
            <w:pPr>
              <w:shd w:val="clear" w:color="auto" w:fill="FFFFFF"/>
              <w:ind w:left="72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691C6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Lucy agrees to include data from 2016-2018 to all tabs </w:t>
            </w:r>
            <w:r w:rsidRPr="0092294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to the </w:t>
            </w:r>
            <w:r w:rsidRPr="009229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Hub KA Scores Schools 2013-2018 document.</w:t>
            </w:r>
          </w:p>
        </w:tc>
      </w:tr>
    </w:tbl>
    <w:p w:rsidR="00525470" w:rsidRDefault="00525470" w:rsidP="00525470"/>
    <w:p w:rsidR="0017005F" w:rsidRDefault="0017005F" w:rsidP="00525470"/>
    <w:p w:rsidR="0017005F" w:rsidRDefault="0017005F" w:rsidP="0052547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730"/>
      </w:tblGrid>
      <w:tr w:rsidR="0017005F" w:rsidRPr="00E3497E" w:rsidTr="003C7756">
        <w:trPr>
          <w:trHeight w:val="288"/>
        </w:trPr>
        <w:tc>
          <w:tcPr>
            <w:tcW w:w="234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7005F" w:rsidRPr="00E3497E" w:rsidRDefault="0017005F" w:rsidP="003C7756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E3497E">
              <w:rPr>
                <w:rFonts w:cstheme="minorHAnsi"/>
                <w:sz w:val="20"/>
                <w:szCs w:val="20"/>
              </w:rPr>
              <w:t>DISCUSSION ITEM</w:t>
            </w:r>
          </w:p>
        </w:tc>
        <w:tc>
          <w:tcPr>
            <w:tcW w:w="7730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17005F" w:rsidRPr="00E3497E" w:rsidRDefault="00F3378B" w:rsidP="003C77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Governing Board: Formula for Allocation of Funds</w:t>
            </w:r>
          </w:p>
        </w:tc>
      </w:tr>
      <w:tr w:rsidR="0017005F" w:rsidRPr="00E3497E" w:rsidTr="003C7756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17005F" w:rsidRPr="001848CB" w:rsidRDefault="001848CB" w:rsidP="003C7756">
            <w:pPr>
              <w:rPr>
                <w:rFonts w:cstheme="minorHAnsi"/>
                <w:sz w:val="20"/>
                <w:szCs w:val="20"/>
              </w:rPr>
            </w:pPr>
            <w:r w:rsidRPr="00184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group feel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184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comfortable with the innovation/planning allocation per county model; however, the methodology needs to </w:t>
            </w:r>
            <w:proofErr w:type="gramStart"/>
            <w:r w:rsidRPr="00184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 stated</w:t>
            </w:r>
            <w:proofErr w:type="gramEnd"/>
            <w:r w:rsidRPr="001848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at the May Board meeting.</w:t>
            </w:r>
          </w:p>
        </w:tc>
      </w:tr>
    </w:tbl>
    <w:p w:rsidR="00525470" w:rsidRDefault="00525470" w:rsidP="001848CB">
      <w:pPr>
        <w:ind w:left="0"/>
      </w:pPr>
    </w:p>
    <w:p w:rsidR="001B55DF" w:rsidRPr="00525470" w:rsidRDefault="001B55DF" w:rsidP="00525470"/>
    <w:p w:rsidR="001B55DF" w:rsidRDefault="001B55DF">
      <w:bookmarkStart w:id="1" w:name="MinuteTopic"/>
      <w:bookmarkStart w:id="2" w:name="MinuteItems"/>
      <w:bookmarkStart w:id="3" w:name="MinuteTopicSection"/>
      <w:bookmarkEnd w:id="1"/>
      <w:bookmarkEnd w:id="2"/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8089"/>
      </w:tblGrid>
      <w:tr w:rsidR="00344FA0" w:rsidRPr="00E3497E" w:rsidTr="001848CB">
        <w:trPr>
          <w:trHeight w:val="288"/>
        </w:trPr>
        <w:tc>
          <w:tcPr>
            <w:tcW w:w="19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E3497E" w:rsidRDefault="00CA7A6F" w:rsidP="00344FA0">
            <w:pPr>
              <w:pStyle w:val="Heading3"/>
              <w:rPr>
                <w:rFonts w:cstheme="minorHAnsi"/>
                <w:sz w:val="20"/>
                <w:szCs w:val="20"/>
              </w:rPr>
            </w:pPr>
            <w:bookmarkStart w:id="4" w:name="MinuteDiscussion"/>
            <w:bookmarkEnd w:id="4"/>
            <w:r w:rsidRPr="00E3497E">
              <w:rPr>
                <w:rFonts w:cstheme="minorHAnsi"/>
                <w:sz w:val="20"/>
                <w:szCs w:val="20"/>
              </w:rPr>
              <w:t>NEXT MEETIN</w:t>
            </w:r>
            <w:r w:rsidR="005A7EE5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8089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E3497E" w:rsidRDefault="006015AB" w:rsidP="001848CB">
            <w:pPr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1848CB">
              <w:rPr>
                <w:rFonts w:cstheme="minorHAnsi"/>
                <w:sz w:val="20"/>
                <w:szCs w:val="20"/>
              </w:rPr>
              <w:t>May 24, 2018</w:t>
            </w:r>
          </w:p>
        </w:tc>
      </w:tr>
      <w:tr w:rsidR="00344FA0" w:rsidRPr="00E3497E" w:rsidTr="001848CB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344FA0" w:rsidRPr="00E3497E" w:rsidRDefault="001848CB" w:rsidP="00C30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2:00pm, Sunset Building, Corvallis</w:t>
            </w:r>
          </w:p>
        </w:tc>
      </w:tr>
      <w:tr w:rsidR="009F2ED4" w:rsidRPr="00E3497E" w:rsidTr="001848CB">
        <w:trPr>
          <w:trHeight w:val="288"/>
        </w:trPr>
        <w:tc>
          <w:tcPr>
            <w:tcW w:w="19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F2ED4" w:rsidRPr="00E3497E" w:rsidRDefault="009F2ED4" w:rsidP="009F2ED4">
            <w:pPr>
              <w:pStyle w:val="Heading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 adjourned</w:t>
            </w:r>
          </w:p>
        </w:tc>
        <w:tc>
          <w:tcPr>
            <w:tcW w:w="8089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9F2ED4" w:rsidRPr="00E3497E" w:rsidRDefault="006015AB" w:rsidP="0017005F">
            <w:pPr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1848CB">
              <w:rPr>
                <w:rFonts w:cstheme="minorHAnsi"/>
                <w:sz w:val="20"/>
                <w:szCs w:val="20"/>
              </w:rPr>
              <w:t>4:00pm</w:t>
            </w:r>
          </w:p>
        </w:tc>
      </w:tr>
      <w:bookmarkEnd w:id="3"/>
    </w:tbl>
    <w:p w:rsidR="0085168B" w:rsidRPr="00E3497E" w:rsidRDefault="0085168B" w:rsidP="0057353B">
      <w:pPr>
        <w:ind w:left="0"/>
        <w:rPr>
          <w:rFonts w:cstheme="minorHAnsi"/>
          <w:sz w:val="20"/>
          <w:szCs w:val="20"/>
        </w:rPr>
      </w:pPr>
    </w:p>
    <w:sectPr w:rsidR="0085168B" w:rsidRPr="00E3497E" w:rsidSect="00C24EA9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91"/>
    <w:rsid w:val="000145A5"/>
    <w:rsid w:val="00022987"/>
    <w:rsid w:val="0002624F"/>
    <w:rsid w:val="00031F1B"/>
    <w:rsid w:val="00043514"/>
    <w:rsid w:val="00052FE9"/>
    <w:rsid w:val="0006221C"/>
    <w:rsid w:val="00072C90"/>
    <w:rsid w:val="000A4198"/>
    <w:rsid w:val="000E25D0"/>
    <w:rsid w:val="000F74E8"/>
    <w:rsid w:val="001018C2"/>
    <w:rsid w:val="00107188"/>
    <w:rsid w:val="00134F77"/>
    <w:rsid w:val="0017005F"/>
    <w:rsid w:val="001848CB"/>
    <w:rsid w:val="00190F55"/>
    <w:rsid w:val="001A29AC"/>
    <w:rsid w:val="001B55DF"/>
    <w:rsid w:val="001C4AA7"/>
    <w:rsid w:val="00200188"/>
    <w:rsid w:val="00202A27"/>
    <w:rsid w:val="002138F0"/>
    <w:rsid w:val="002D5AB2"/>
    <w:rsid w:val="00313E2A"/>
    <w:rsid w:val="00324254"/>
    <w:rsid w:val="00336EEF"/>
    <w:rsid w:val="00344FA0"/>
    <w:rsid w:val="00354782"/>
    <w:rsid w:val="0037040C"/>
    <w:rsid w:val="0039413A"/>
    <w:rsid w:val="003F379F"/>
    <w:rsid w:val="00417272"/>
    <w:rsid w:val="004214C7"/>
    <w:rsid w:val="00421EAB"/>
    <w:rsid w:val="00423E89"/>
    <w:rsid w:val="00424E7A"/>
    <w:rsid w:val="004263B1"/>
    <w:rsid w:val="0043399C"/>
    <w:rsid w:val="00455419"/>
    <w:rsid w:val="00456620"/>
    <w:rsid w:val="00495E0E"/>
    <w:rsid w:val="004A1193"/>
    <w:rsid w:val="005052C5"/>
    <w:rsid w:val="00525470"/>
    <w:rsid w:val="00531002"/>
    <w:rsid w:val="005372C4"/>
    <w:rsid w:val="005573FF"/>
    <w:rsid w:val="005714B5"/>
    <w:rsid w:val="0057353B"/>
    <w:rsid w:val="0059700F"/>
    <w:rsid w:val="005A7EE5"/>
    <w:rsid w:val="005F1813"/>
    <w:rsid w:val="005F58B2"/>
    <w:rsid w:val="006015AB"/>
    <w:rsid w:val="006242B2"/>
    <w:rsid w:val="00641571"/>
    <w:rsid w:val="0066541B"/>
    <w:rsid w:val="00676FBB"/>
    <w:rsid w:val="00691C6E"/>
    <w:rsid w:val="00692553"/>
    <w:rsid w:val="006C7CAE"/>
    <w:rsid w:val="006E6004"/>
    <w:rsid w:val="0072099B"/>
    <w:rsid w:val="00741E34"/>
    <w:rsid w:val="00750790"/>
    <w:rsid w:val="007554A1"/>
    <w:rsid w:val="00761676"/>
    <w:rsid w:val="007645FE"/>
    <w:rsid w:val="007C174F"/>
    <w:rsid w:val="007C1D20"/>
    <w:rsid w:val="007D4513"/>
    <w:rsid w:val="00816490"/>
    <w:rsid w:val="0085168B"/>
    <w:rsid w:val="00852342"/>
    <w:rsid w:val="0089286F"/>
    <w:rsid w:val="008954E7"/>
    <w:rsid w:val="008A11DF"/>
    <w:rsid w:val="008B2336"/>
    <w:rsid w:val="008F49C0"/>
    <w:rsid w:val="00902368"/>
    <w:rsid w:val="0091486C"/>
    <w:rsid w:val="0092294E"/>
    <w:rsid w:val="00935342"/>
    <w:rsid w:val="009364B8"/>
    <w:rsid w:val="0093697B"/>
    <w:rsid w:val="00954110"/>
    <w:rsid w:val="00987202"/>
    <w:rsid w:val="009C5C7F"/>
    <w:rsid w:val="009F2ED4"/>
    <w:rsid w:val="009F4509"/>
    <w:rsid w:val="00A06D0F"/>
    <w:rsid w:val="00A2144C"/>
    <w:rsid w:val="00A869CC"/>
    <w:rsid w:val="00AC5072"/>
    <w:rsid w:val="00AE3851"/>
    <w:rsid w:val="00AF2CE5"/>
    <w:rsid w:val="00B56CA2"/>
    <w:rsid w:val="00B84015"/>
    <w:rsid w:val="00B91630"/>
    <w:rsid w:val="00BB2C65"/>
    <w:rsid w:val="00BB5323"/>
    <w:rsid w:val="00BB6922"/>
    <w:rsid w:val="00BE3F9F"/>
    <w:rsid w:val="00BF65DF"/>
    <w:rsid w:val="00C13F71"/>
    <w:rsid w:val="00C166AB"/>
    <w:rsid w:val="00C24EA9"/>
    <w:rsid w:val="00C30158"/>
    <w:rsid w:val="00C44923"/>
    <w:rsid w:val="00C46068"/>
    <w:rsid w:val="00C47B43"/>
    <w:rsid w:val="00CA2316"/>
    <w:rsid w:val="00CA7A6F"/>
    <w:rsid w:val="00CB3760"/>
    <w:rsid w:val="00CE6342"/>
    <w:rsid w:val="00D22F37"/>
    <w:rsid w:val="00D621F4"/>
    <w:rsid w:val="00D8181B"/>
    <w:rsid w:val="00D85A6E"/>
    <w:rsid w:val="00D91E91"/>
    <w:rsid w:val="00E3497E"/>
    <w:rsid w:val="00E43BAB"/>
    <w:rsid w:val="00E4591C"/>
    <w:rsid w:val="00E54BAB"/>
    <w:rsid w:val="00E60E43"/>
    <w:rsid w:val="00E660F6"/>
    <w:rsid w:val="00E711B2"/>
    <w:rsid w:val="00E71DBA"/>
    <w:rsid w:val="00EA2581"/>
    <w:rsid w:val="00EA5C91"/>
    <w:rsid w:val="00EB57CD"/>
    <w:rsid w:val="00EB720B"/>
    <w:rsid w:val="00ED1386"/>
    <w:rsid w:val="00EE2EB3"/>
    <w:rsid w:val="00EE69CA"/>
    <w:rsid w:val="00F2185F"/>
    <w:rsid w:val="00F3378B"/>
    <w:rsid w:val="00F37095"/>
    <w:rsid w:val="00F378A8"/>
    <w:rsid w:val="00F533EE"/>
    <w:rsid w:val="00F94C92"/>
    <w:rsid w:val="00FC7661"/>
    <w:rsid w:val="00FD1A4C"/>
    <w:rsid w:val="00FD794C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5F79E"/>
  <w15:docId w15:val="{79D918DB-C6E3-4E58-B9D4-779039D7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qFormat/>
    <w:rsid w:val="00F37095"/>
    <w:pPr>
      <w:widowControl w:val="0"/>
      <w:ind w:left="0"/>
    </w:pPr>
    <w:rPr>
      <w:rFonts w:eastAsia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k\AppData\Roaming\Microsoft\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73889-AC9B-4D97-9491-A76926D1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Staff</dc:creator>
  <cp:lastModifiedBy>Jennifer Hartsock</cp:lastModifiedBy>
  <cp:revision>9</cp:revision>
  <cp:lastPrinted>2015-03-19T17:50:00Z</cp:lastPrinted>
  <dcterms:created xsi:type="dcterms:W3CDTF">2018-04-27T15:24:00Z</dcterms:created>
  <dcterms:modified xsi:type="dcterms:W3CDTF">2018-04-27T15:40:00Z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