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06"/>
        <w:gridCol w:w="1786"/>
        <w:gridCol w:w="1793"/>
        <w:gridCol w:w="1783"/>
        <w:gridCol w:w="1760"/>
        <w:gridCol w:w="2397"/>
        <w:gridCol w:w="1851"/>
      </w:tblGrid>
      <w:tr w:rsidR="005C077B" w:rsidTr="005C077B">
        <w:tc>
          <w:tcPr>
            <w:tcW w:w="13176" w:type="dxa"/>
            <w:gridSpan w:val="7"/>
          </w:tcPr>
          <w:p w:rsidR="005C077B" w:rsidRPr="004549E5" w:rsidRDefault="005C077B" w:rsidP="00C14E69">
            <w:pPr>
              <w:rPr>
                <w:rFonts w:ascii="Arial" w:eastAsia="Times New Roman" w:hAnsi="Arial" w:cs="Arial"/>
                <w:b/>
                <w:color w:val="7030A0"/>
              </w:rPr>
            </w:pPr>
            <w:r w:rsidRPr="004549E5">
              <w:rPr>
                <w:rFonts w:ascii="Arial" w:hAnsi="Arial" w:cs="Arial"/>
                <w:b/>
                <w:color w:val="7030A0"/>
                <w:sz w:val="24"/>
              </w:rPr>
              <w:t>Outcome One:</w:t>
            </w:r>
            <w:r w:rsidRPr="004549E5">
              <w:rPr>
                <w:rFonts w:ascii="Arial" w:hAnsi="Arial" w:cs="Arial"/>
                <w:color w:val="7030A0"/>
                <w:sz w:val="24"/>
              </w:rPr>
              <w:t xml:space="preserve"> </w:t>
            </w:r>
            <w:r w:rsidRPr="004549E5">
              <w:rPr>
                <w:rFonts w:ascii="Arial" w:eastAsia="Times New Roman" w:hAnsi="Arial" w:cs="Arial"/>
                <w:b/>
                <w:i/>
                <w:color w:val="7030A0"/>
                <w:sz w:val="24"/>
                <w:szCs w:val="24"/>
              </w:rPr>
              <w:t>The early childhood system is aligned, coordinated and family-centered</w:t>
            </w:r>
          </w:p>
          <w:p w:rsidR="005C077B" w:rsidRPr="00D7702A" w:rsidRDefault="005C077B" w:rsidP="00C14E69">
            <w:pPr>
              <w:spacing w:after="200" w:line="276" w:lineRule="auto"/>
              <w:rPr>
                <w:rFonts w:ascii="Arial" w:hAnsi="Arial" w:cs="Arial"/>
                <w:b/>
              </w:rPr>
            </w:pPr>
          </w:p>
        </w:tc>
      </w:tr>
      <w:tr w:rsidR="005C077B" w:rsidTr="005C077B">
        <w:tc>
          <w:tcPr>
            <w:tcW w:w="13176" w:type="dxa"/>
            <w:gridSpan w:val="7"/>
          </w:tcPr>
          <w:p w:rsidR="00766E49" w:rsidRDefault="005C077B" w:rsidP="000A2AA7">
            <w:pPr>
              <w:spacing w:after="200" w:line="276" w:lineRule="auto"/>
              <w:rPr>
                <w:rFonts w:ascii="Arial" w:hAnsi="Arial" w:cs="Arial"/>
                <w:b/>
                <w:sz w:val="24"/>
                <w:szCs w:val="24"/>
              </w:rPr>
            </w:pPr>
            <w:r>
              <w:rPr>
                <w:rFonts w:ascii="Arial" w:hAnsi="Arial" w:cs="Arial"/>
                <w:b/>
                <w:sz w:val="24"/>
                <w:szCs w:val="24"/>
              </w:rPr>
              <w:t>Hub Roles</w:t>
            </w:r>
            <w:r w:rsidRPr="00464D8B">
              <w:rPr>
                <w:rFonts w:ascii="Arial" w:hAnsi="Arial" w:cs="Arial"/>
                <w:b/>
                <w:sz w:val="24"/>
                <w:szCs w:val="24"/>
              </w:rPr>
              <w:t xml:space="preserve">: </w:t>
            </w:r>
          </w:p>
          <w:p w:rsidR="005C077B" w:rsidRPr="00766E49" w:rsidRDefault="00766E49" w:rsidP="00766E49">
            <w:pPr>
              <w:rPr>
                <w:rFonts w:eastAsia="Times New Roman" w:cs="Times New Roman"/>
              </w:rPr>
            </w:pPr>
            <w:r>
              <w:rPr>
                <w:rFonts w:eastAsia="Times New Roman" w:cs="Times New Roman"/>
              </w:rPr>
              <w:t>1.1-</w:t>
            </w:r>
            <w:r w:rsidR="000A2AA7" w:rsidRPr="00766E49">
              <w:rPr>
                <w:rFonts w:eastAsia="Times New Roman" w:cs="Times New Roman"/>
              </w:rPr>
              <w:t xml:space="preserve">Develop and implement, in partnership with the five </w:t>
            </w:r>
            <w:proofErr w:type="gramStart"/>
            <w:r w:rsidR="000A2AA7" w:rsidRPr="00766E49">
              <w:rPr>
                <w:rFonts w:eastAsia="Times New Roman" w:cs="Times New Roman"/>
              </w:rPr>
              <w:t>sectors  a</w:t>
            </w:r>
            <w:proofErr w:type="gramEnd"/>
            <w:r w:rsidR="000A2AA7" w:rsidRPr="00766E49">
              <w:rPr>
                <w:rFonts w:eastAsia="Times New Roman" w:cs="Times New Roman"/>
              </w:rPr>
              <w:t xml:space="preserve"> shared strategic vision and work plan to achieve the Early Learning System goals.</w:t>
            </w:r>
          </w:p>
          <w:p w:rsidR="00766E49" w:rsidRPr="00766E49" w:rsidRDefault="00766E49" w:rsidP="00766E49">
            <w:pPr>
              <w:pStyle w:val="ListParagraph"/>
              <w:rPr>
                <w:rFonts w:ascii="Arial" w:hAnsi="Arial" w:cs="Arial"/>
                <w:b/>
              </w:rPr>
            </w:pPr>
          </w:p>
          <w:p w:rsidR="000A2AA7" w:rsidRPr="00BA4B79" w:rsidRDefault="000A2AA7" w:rsidP="000A2AA7">
            <w:pPr>
              <w:spacing w:after="200" w:line="276" w:lineRule="auto"/>
              <w:rPr>
                <w:rFonts w:eastAsia="Times New Roman" w:cs="Times New Roman"/>
              </w:rPr>
            </w:pPr>
            <w:r w:rsidRPr="00BA4B79">
              <w:rPr>
                <w:rFonts w:eastAsia="Times New Roman" w:cs="Times New Roman"/>
              </w:rPr>
              <w:t>1.2- Aggregate, interpret and effectively communicate available data in order to (1) identify focus populations, (2) track the well-being of children and families in the community, (3) guide development of their work plan and its revision in a process of continuous quality improvement; and (4) facilitate collaboration across sectors and partners.</w:t>
            </w:r>
          </w:p>
          <w:p w:rsidR="000A2AA7" w:rsidRPr="00BA4B79" w:rsidRDefault="000A2AA7" w:rsidP="000A2AA7">
            <w:pPr>
              <w:spacing w:after="200" w:line="276" w:lineRule="auto"/>
              <w:rPr>
                <w:rFonts w:eastAsia="Times New Roman" w:cs="Times New Roman"/>
              </w:rPr>
            </w:pPr>
            <w:r w:rsidRPr="00BA4B79">
              <w:rPr>
                <w:rFonts w:eastAsia="Times New Roman" w:cs="Times New Roman"/>
              </w:rPr>
              <w:t>1.3- In partnership with the</w:t>
            </w:r>
            <w:r w:rsidRPr="00BA4B79" w:rsidDel="00C8718F">
              <w:rPr>
                <w:rFonts w:eastAsia="Times New Roman" w:cs="Times New Roman"/>
              </w:rPr>
              <w:t xml:space="preserve"> five sectors,</w:t>
            </w:r>
            <w:r w:rsidRPr="00BA4B79">
              <w:rPr>
                <w:rFonts w:eastAsia="Times New Roman" w:cs="Times New Roman"/>
              </w:rPr>
              <w:t xml:space="preserve"> </w:t>
            </w:r>
            <w:r w:rsidRPr="00BA4B79" w:rsidDel="00C8718F">
              <w:rPr>
                <w:rFonts w:eastAsia="Times New Roman" w:cs="Times New Roman"/>
              </w:rPr>
              <w:t>identify focus and priority populations in the community</w:t>
            </w:r>
            <w:r w:rsidRPr="00BA4B79">
              <w:rPr>
                <w:rFonts w:eastAsia="Times New Roman" w:cs="Times New Roman"/>
              </w:rPr>
              <w:t xml:space="preserve"> using best available data</w:t>
            </w:r>
            <w:r w:rsidRPr="00BA4B79" w:rsidDel="00C8718F">
              <w:rPr>
                <w:rFonts w:eastAsia="Times New Roman" w:cs="Times New Roman"/>
              </w:rPr>
              <w:t xml:space="preserve"> and </w:t>
            </w:r>
            <w:r w:rsidRPr="00BA4B79">
              <w:rPr>
                <w:rFonts w:eastAsia="Times New Roman" w:cs="Times New Roman"/>
              </w:rPr>
              <w:t xml:space="preserve">help direct </w:t>
            </w:r>
            <w:r w:rsidRPr="00BA4B79" w:rsidDel="00C8718F">
              <w:rPr>
                <w:rFonts w:eastAsia="Times New Roman" w:cs="Times New Roman"/>
              </w:rPr>
              <w:t xml:space="preserve">community resources </w:t>
            </w:r>
            <w:r w:rsidRPr="00BA4B79">
              <w:rPr>
                <w:rFonts w:eastAsia="Times New Roman" w:cs="Times New Roman"/>
              </w:rPr>
              <w:t>to address</w:t>
            </w:r>
            <w:r w:rsidRPr="00BA4B79" w:rsidDel="00C8718F">
              <w:rPr>
                <w:rFonts w:eastAsia="Times New Roman" w:cs="Times New Roman"/>
              </w:rPr>
              <w:t xml:space="preserve"> the needs of those populations.</w:t>
            </w:r>
          </w:p>
          <w:p w:rsidR="000A2AA7" w:rsidRPr="00BA4B79" w:rsidRDefault="000A2AA7" w:rsidP="00BA4B79">
            <w:pPr>
              <w:spacing w:after="200" w:line="276" w:lineRule="auto"/>
              <w:rPr>
                <w:rFonts w:eastAsia="Times New Roman" w:cs="Times New Roman"/>
              </w:rPr>
            </w:pPr>
            <w:r w:rsidRPr="00BA4B79">
              <w:rPr>
                <w:rFonts w:eastAsia="Times New Roman" w:cs="Times New Roman"/>
              </w:rPr>
              <w:t>1.4-</w:t>
            </w:r>
            <w:r w:rsidR="00BA4B79" w:rsidRPr="00BA4B79">
              <w:rPr>
                <w:rFonts w:eastAsia="Times New Roman" w:cs="Times New Roman"/>
              </w:rPr>
              <w:t xml:space="preserve"> Work with community partners to build understanding and grow community support for the shared vision, and to facilitate opportunities for partners to integrate that vision into their own work plans and strategies.</w:t>
            </w:r>
          </w:p>
          <w:p w:rsidR="00BA4B79" w:rsidRPr="00BA4B79" w:rsidRDefault="00BA4B79" w:rsidP="00BA4B79">
            <w:pPr>
              <w:spacing w:after="200" w:line="276" w:lineRule="auto"/>
              <w:rPr>
                <w:rFonts w:eastAsia="Times New Roman" w:cs="Times New Roman"/>
              </w:rPr>
            </w:pPr>
            <w:r w:rsidRPr="00BA4B79">
              <w:rPr>
                <w:rFonts w:eastAsia="Times New Roman" w:cs="Times New Roman"/>
              </w:rPr>
              <w:t>1.5- With partners and all five sectors, to identify and prioritize barriers children and families experience when attempting to access supports to achieve positive outcomes, and to strategically work to remove prioritized barriers.</w:t>
            </w:r>
          </w:p>
          <w:p w:rsidR="00BA4B79" w:rsidRDefault="00BA4B79" w:rsidP="00BA4B79">
            <w:pPr>
              <w:spacing w:after="200" w:line="276" w:lineRule="auto"/>
              <w:rPr>
                <w:rFonts w:eastAsia="Times New Roman" w:cs="Times New Roman"/>
              </w:rPr>
            </w:pPr>
            <w:r w:rsidRPr="00BA4B79">
              <w:rPr>
                <w:rFonts w:eastAsia="Times New Roman" w:cs="Times New Roman"/>
              </w:rPr>
              <w:t xml:space="preserve">1.6- </w:t>
            </w:r>
            <w:proofErr w:type="gramStart"/>
            <w:r w:rsidRPr="00BA4B79">
              <w:rPr>
                <w:rFonts w:eastAsia="Times New Roman" w:cs="Times New Roman"/>
              </w:rPr>
              <w:t>Incorporate  family</w:t>
            </w:r>
            <w:proofErr w:type="gramEnd"/>
            <w:r w:rsidRPr="00BA4B79">
              <w:rPr>
                <w:rFonts w:eastAsia="Times New Roman" w:cs="Times New Roman"/>
              </w:rPr>
              <w:t xml:space="preserve"> voice from focus populations and adjust in a culturally responsive manner in hub planning, strategies and activities.</w:t>
            </w:r>
          </w:p>
          <w:p w:rsidR="002E372B" w:rsidRDefault="002E372B" w:rsidP="00BA4B79">
            <w:pPr>
              <w:spacing w:after="200" w:line="276" w:lineRule="auto"/>
              <w:rPr>
                <w:rFonts w:eastAsia="Times New Roman" w:cs="Times New Roman"/>
                <w:b/>
              </w:rPr>
            </w:pPr>
          </w:p>
          <w:p w:rsidR="00666FF0" w:rsidRDefault="00666FF0" w:rsidP="00BA4B79">
            <w:pPr>
              <w:spacing w:after="200" w:line="276" w:lineRule="auto"/>
              <w:rPr>
                <w:rFonts w:eastAsia="Times New Roman" w:cs="Times New Roman"/>
                <w:b/>
              </w:rPr>
            </w:pPr>
          </w:p>
          <w:p w:rsidR="00666FF0" w:rsidRDefault="00666FF0" w:rsidP="00BA4B79">
            <w:pPr>
              <w:spacing w:after="200" w:line="276" w:lineRule="auto"/>
              <w:rPr>
                <w:rFonts w:eastAsia="Times New Roman" w:cs="Times New Roman"/>
                <w:b/>
              </w:rPr>
            </w:pPr>
          </w:p>
          <w:p w:rsidR="00666FF0" w:rsidRDefault="00666FF0" w:rsidP="00BA4B79">
            <w:pPr>
              <w:spacing w:after="200" w:line="276" w:lineRule="auto"/>
              <w:rPr>
                <w:rFonts w:eastAsia="Times New Roman" w:cs="Times New Roman"/>
                <w:b/>
              </w:rPr>
            </w:pPr>
          </w:p>
          <w:p w:rsidR="00766E49" w:rsidRPr="00766E49" w:rsidRDefault="00766E49" w:rsidP="00BA4B79">
            <w:pPr>
              <w:spacing w:after="200" w:line="276" w:lineRule="auto"/>
              <w:rPr>
                <w:rFonts w:eastAsia="Times New Roman" w:cs="Times New Roman"/>
                <w:b/>
              </w:rPr>
            </w:pPr>
            <w:r w:rsidRPr="00766E49">
              <w:rPr>
                <w:rFonts w:eastAsia="Times New Roman" w:cs="Times New Roman"/>
                <w:b/>
              </w:rPr>
              <w:lastRenderedPageBreak/>
              <w:t>Indicators for Success(From Monitoring Process 2017)-Goal 1:</w:t>
            </w:r>
          </w:p>
          <w:p w:rsidR="00766E49" w:rsidRPr="000234D3" w:rsidRDefault="00766E49" w:rsidP="00766E49">
            <w:pPr>
              <w:ind w:firstLine="720"/>
              <w:rPr>
                <w:rFonts w:eastAsia="Times New Roman" w:cs="Times New Roman"/>
                <w:b/>
                <w:sz w:val="24"/>
                <w:szCs w:val="24"/>
              </w:rPr>
            </w:pPr>
            <w:r w:rsidRPr="000234D3">
              <w:rPr>
                <w:rFonts w:eastAsia="Times New Roman" w:cs="Times New Roman"/>
                <w:b/>
                <w:i/>
                <w:iCs/>
                <w:color w:val="000000"/>
              </w:rPr>
              <w:t>Process Indicators</w:t>
            </w:r>
          </w:p>
          <w:p w:rsidR="00766E49" w:rsidRPr="000234D3" w:rsidRDefault="00766E49" w:rsidP="00766E49">
            <w:pPr>
              <w:rPr>
                <w:rFonts w:ascii="Times New Roman" w:eastAsia="Times New Roman" w:hAnsi="Times New Roman" w:cs="Times New Roman"/>
                <w:sz w:val="24"/>
                <w:szCs w:val="24"/>
              </w:rPr>
            </w:pPr>
          </w:p>
          <w:p w:rsidR="00766E49" w:rsidRPr="000234D3" w:rsidRDefault="00766E49" w:rsidP="00766E49">
            <w:pPr>
              <w:numPr>
                <w:ilvl w:val="0"/>
                <w:numId w:val="3"/>
              </w:numPr>
              <w:textAlignment w:val="baseline"/>
              <w:rPr>
                <w:rFonts w:eastAsia="Times New Roman" w:cs="Times New Roman"/>
                <w:color w:val="000000"/>
              </w:rPr>
            </w:pPr>
            <w:r w:rsidRPr="000234D3">
              <w:rPr>
                <w:rFonts w:eastAsia="Times New Roman" w:cs="Times New Roman"/>
                <w:color w:val="000000"/>
              </w:rPr>
              <w:t xml:space="preserve">Hub </w:t>
            </w:r>
            <w:r w:rsidRPr="000234D3">
              <w:rPr>
                <w:rFonts w:eastAsia="Times New Roman" w:cs="Times New Roman"/>
                <w:color w:val="000000"/>
                <w:u w:val="single"/>
              </w:rPr>
              <w:t>governance bodies are inclusive of system and strategic partners</w:t>
            </w:r>
            <w:r w:rsidRPr="000234D3">
              <w:rPr>
                <w:rFonts w:eastAsia="Times New Roman" w:cs="Times New Roman"/>
                <w:color w:val="000000"/>
              </w:rPr>
              <w:t xml:space="preserve"> including and not limited to</w:t>
            </w:r>
            <w:r>
              <w:rPr>
                <w:rFonts w:eastAsia="Times New Roman" w:cs="Times New Roman"/>
                <w:color w:val="000000"/>
              </w:rPr>
              <w:t xml:space="preserve"> </w:t>
            </w:r>
            <w:r w:rsidRPr="000234D3">
              <w:rPr>
                <w:rFonts w:eastAsia="Times New Roman" w:cs="Times New Roman"/>
                <w:color w:val="000000"/>
              </w:rPr>
              <w:t>K-12, business, early learning, DHS, and health partners.</w:t>
            </w:r>
            <w:r>
              <w:rPr>
                <w:rFonts w:eastAsia="Times New Roman" w:cs="Times New Roman"/>
                <w:color w:val="000000"/>
              </w:rPr>
              <w:tab/>
            </w:r>
          </w:p>
          <w:p w:rsidR="00766E49" w:rsidRPr="000234D3" w:rsidRDefault="00766E49" w:rsidP="00766E49">
            <w:pPr>
              <w:textAlignment w:val="baseline"/>
              <w:rPr>
                <w:rFonts w:eastAsia="Times New Roman" w:cs="Times New Roman"/>
                <w:color w:val="000000"/>
              </w:rPr>
            </w:pPr>
          </w:p>
          <w:p w:rsidR="00766E49" w:rsidRPr="000234D3" w:rsidRDefault="00766E49" w:rsidP="00766E49">
            <w:pPr>
              <w:pStyle w:val="ListParagraph"/>
              <w:numPr>
                <w:ilvl w:val="0"/>
                <w:numId w:val="3"/>
              </w:numPr>
              <w:textAlignment w:val="baseline"/>
              <w:rPr>
                <w:rFonts w:eastAsia="Times New Roman" w:cs="Times New Roman"/>
                <w:color w:val="000000"/>
              </w:rPr>
            </w:pPr>
            <w:r w:rsidRPr="000234D3">
              <w:rPr>
                <w:rFonts w:eastAsia="Times New Roman" w:cs="Times New Roman"/>
                <w:color w:val="000000"/>
              </w:rPr>
              <w:t xml:space="preserve">Hub </w:t>
            </w:r>
            <w:r w:rsidRPr="000234D3">
              <w:rPr>
                <w:rFonts w:eastAsia="Times New Roman" w:cs="Times New Roman"/>
                <w:color w:val="000000"/>
                <w:u w:val="single"/>
              </w:rPr>
              <w:t>governance bodies are contributing members</w:t>
            </w:r>
            <w:r w:rsidRPr="000234D3">
              <w:rPr>
                <w:rFonts w:eastAsia="Times New Roman" w:cs="Times New Roman"/>
                <w:color w:val="000000"/>
              </w:rPr>
              <w:t xml:space="preserve"> whose input and feedback is included in the decisions, actions and strategic investments of the hub.</w:t>
            </w:r>
          </w:p>
          <w:p w:rsidR="00766E49" w:rsidRPr="000234D3" w:rsidRDefault="00766E49" w:rsidP="00766E49">
            <w:pPr>
              <w:rPr>
                <w:rFonts w:eastAsia="Times New Roman" w:cs="Times New Roman"/>
              </w:rPr>
            </w:pPr>
          </w:p>
          <w:p w:rsidR="00766E49" w:rsidRPr="000234D3" w:rsidRDefault="00766E49" w:rsidP="00766E49">
            <w:pPr>
              <w:numPr>
                <w:ilvl w:val="0"/>
                <w:numId w:val="3"/>
              </w:numPr>
              <w:textAlignment w:val="baseline"/>
              <w:rPr>
                <w:rFonts w:eastAsia="Times New Roman" w:cs="Times New Roman"/>
                <w:color w:val="000000"/>
              </w:rPr>
            </w:pPr>
            <w:r w:rsidRPr="000234D3">
              <w:rPr>
                <w:rFonts w:eastAsia="Times New Roman" w:cs="Times New Roman"/>
                <w:color w:val="000000"/>
              </w:rPr>
              <w:t xml:space="preserve">Hub - with its partners - </w:t>
            </w:r>
            <w:r w:rsidRPr="000234D3">
              <w:rPr>
                <w:rFonts w:eastAsia="Times New Roman" w:cs="Times New Roman"/>
                <w:color w:val="000000"/>
                <w:u w:val="single"/>
              </w:rPr>
              <w:t>identifies, analyzes, and utilizes regional data</w:t>
            </w:r>
            <w:r w:rsidRPr="000234D3">
              <w:rPr>
                <w:rFonts w:eastAsia="Times New Roman" w:cs="Times New Roman"/>
                <w:color w:val="000000"/>
              </w:rPr>
              <w:t xml:space="preserve"> to assess their priority populations and disparities for priority populations.</w:t>
            </w:r>
          </w:p>
          <w:p w:rsidR="00766E49" w:rsidRPr="000234D3" w:rsidRDefault="00766E49" w:rsidP="00766E49">
            <w:pPr>
              <w:rPr>
                <w:rFonts w:eastAsia="Times New Roman" w:cs="Times New Roman"/>
              </w:rPr>
            </w:pPr>
          </w:p>
          <w:p w:rsidR="00766E49" w:rsidRPr="000234D3" w:rsidRDefault="00766E49" w:rsidP="00766E49">
            <w:pPr>
              <w:rPr>
                <w:rFonts w:eastAsia="Times New Roman" w:cs="Times New Roman"/>
              </w:rPr>
            </w:pPr>
          </w:p>
          <w:p w:rsidR="00766E49" w:rsidRPr="00AC5FB5" w:rsidRDefault="00766E49" w:rsidP="00766E49">
            <w:pPr>
              <w:pStyle w:val="ListParagraph"/>
              <w:rPr>
                <w:rFonts w:eastAsia="Times New Roman" w:cs="Times New Roman"/>
                <w:b/>
              </w:rPr>
            </w:pPr>
            <w:r w:rsidRPr="00AC5FB5">
              <w:rPr>
                <w:rFonts w:eastAsia="Times New Roman" w:cs="Times New Roman"/>
                <w:b/>
                <w:i/>
                <w:iCs/>
                <w:color w:val="000000"/>
              </w:rPr>
              <w:t>Productivity Indicators</w:t>
            </w:r>
          </w:p>
          <w:p w:rsidR="00766E49" w:rsidRPr="000234D3" w:rsidRDefault="00766E49" w:rsidP="00766E49">
            <w:pPr>
              <w:rPr>
                <w:rFonts w:eastAsia="Times New Roman" w:cs="Times New Roman"/>
              </w:rPr>
            </w:pPr>
          </w:p>
          <w:p w:rsidR="00766E49" w:rsidRPr="000234D3" w:rsidRDefault="00766E49" w:rsidP="00766E49">
            <w:pPr>
              <w:numPr>
                <w:ilvl w:val="0"/>
                <w:numId w:val="3"/>
              </w:numPr>
              <w:textAlignment w:val="baseline"/>
              <w:rPr>
                <w:rFonts w:eastAsia="Times New Roman" w:cs="Times New Roman"/>
                <w:color w:val="000000"/>
              </w:rPr>
            </w:pPr>
            <w:r w:rsidRPr="000234D3">
              <w:rPr>
                <w:rFonts w:eastAsia="Times New Roman" w:cs="Times New Roman"/>
                <w:color w:val="000000"/>
              </w:rPr>
              <w:t xml:space="preserve">Hub </w:t>
            </w:r>
            <w:r w:rsidRPr="000234D3">
              <w:rPr>
                <w:rFonts w:eastAsia="Times New Roman" w:cs="Times New Roman"/>
                <w:color w:val="000000"/>
                <w:u w:val="single"/>
              </w:rPr>
              <w:t>engages their communities, families, and partners</w:t>
            </w:r>
            <w:r w:rsidRPr="000234D3">
              <w:rPr>
                <w:rFonts w:eastAsia="Times New Roman" w:cs="Times New Roman"/>
                <w:color w:val="000000"/>
              </w:rPr>
              <w:t xml:space="preserve"> to assess what specific needs these identified populations have.</w:t>
            </w:r>
          </w:p>
          <w:p w:rsidR="00766E49" w:rsidRPr="000234D3" w:rsidRDefault="00766E49" w:rsidP="00766E49">
            <w:pPr>
              <w:rPr>
                <w:rFonts w:eastAsia="Times New Roman" w:cs="Times New Roman"/>
              </w:rPr>
            </w:pPr>
          </w:p>
          <w:p w:rsidR="00766E49" w:rsidRPr="000234D3" w:rsidRDefault="00766E49" w:rsidP="00766E49">
            <w:pPr>
              <w:numPr>
                <w:ilvl w:val="0"/>
                <w:numId w:val="3"/>
              </w:numPr>
              <w:textAlignment w:val="baseline"/>
              <w:rPr>
                <w:rFonts w:eastAsia="Times New Roman" w:cs="Times New Roman"/>
                <w:color w:val="000000"/>
              </w:rPr>
            </w:pPr>
            <w:r w:rsidRPr="000234D3">
              <w:rPr>
                <w:rFonts w:eastAsia="Times New Roman" w:cs="Times New Roman"/>
                <w:color w:val="000000"/>
              </w:rPr>
              <w:t xml:space="preserve">Partners have a </w:t>
            </w:r>
            <w:r w:rsidRPr="000234D3">
              <w:rPr>
                <w:rFonts w:eastAsia="Times New Roman" w:cs="Times New Roman"/>
                <w:color w:val="000000"/>
                <w:u w:val="single"/>
              </w:rPr>
              <w:t>clear role in implementing</w:t>
            </w:r>
            <w:r w:rsidRPr="000234D3">
              <w:rPr>
                <w:rFonts w:eastAsia="Times New Roman" w:cs="Times New Roman"/>
                <w:color w:val="000000"/>
              </w:rPr>
              <w:t xml:space="preserve"> strategies and activities that </w:t>
            </w:r>
            <w:proofErr w:type="gramStart"/>
            <w:r w:rsidRPr="000234D3">
              <w:rPr>
                <w:rFonts w:eastAsia="Times New Roman" w:cs="Times New Roman"/>
                <w:color w:val="000000"/>
              </w:rPr>
              <w:t>are focused</w:t>
            </w:r>
            <w:proofErr w:type="gramEnd"/>
            <w:r w:rsidRPr="000234D3">
              <w:rPr>
                <w:rFonts w:eastAsia="Times New Roman" w:cs="Times New Roman"/>
                <w:color w:val="000000"/>
              </w:rPr>
              <w:t xml:space="preserve"> on these outcomes.</w:t>
            </w:r>
          </w:p>
          <w:p w:rsidR="00766E49" w:rsidRPr="000234D3" w:rsidRDefault="00766E49" w:rsidP="00766E49">
            <w:pPr>
              <w:rPr>
                <w:rFonts w:eastAsia="Times New Roman" w:cs="Times New Roman"/>
              </w:rPr>
            </w:pPr>
          </w:p>
          <w:p w:rsidR="00766E49" w:rsidRPr="000234D3" w:rsidRDefault="00766E49" w:rsidP="00766E49">
            <w:pPr>
              <w:numPr>
                <w:ilvl w:val="0"/>
                <w:numId w:val="3"/>
              </w:numPr>
              <w:textAlignment w:val="baseline"/>
              <w:rPr>
                <w:rFonts w:eastAsia="Times New Roman" w:cs="Times New Roman"/>
                <w:color w:val="000000"/>
              </w:rPr>
            </w:pPr>
            <w:r w:rsidRPr="000234D3">
              <w:rPr>
                <w:rFonts w:eastAsia="Times New Roman" w:cs="Times New Roman"/>
                <w:color w:val="000000"/>
              </w:rPr>
              <w:t xml:space="preserve">Hub investments </w:t>
            </w:r>
            <w:proofErr w:type="gramStart"/>
            <w:r w:rsidRPr="000234D3">
              <w:rPr>
                <w:rFonts w:eastAsia="Times New Roman" w:cs="Times New Roman"/>
                <w:color w:val="000000"/>
              </w:rPr>
              <w:t xml:space="preserve">are </w:t>
            </w:r>
            <w:r w:rsidRPr="000234D3">
              <w:rPr>
                <w:rFonts w:eastAsia="Times New Roman" w:cs="Times New Roman"/>
                <w:color w:val="000000"/>
                <w:u w:val="single"/>
              </w:rPr>
              <w:t>clearly aligned</w:t>
            </w:r>
            <w:proofErr w:type="gramEnd"/>
            <w:r w:rsidRPr="000234D3">
              <w:rPr>
                <w:rFonts w:eastAsia="Times New Roman" w:cs="Times New Roman"/>
                <w:color w:val="000000"/>
                <w:u w:val="single"/>
              </w:rPr>
              <w:t xml:space="preserve"> to strategies and work plan activities</w:t>
            </w:r>
            <w:r w:rsidRPr="000234D3">
              <w:rPr>
                <w:rFonts w:eastAsia="Times New Roman" w:cs="Times New Roman"/>
                <w:color w:val="000000"/>
              </w:rPr>
              <w:t xml:space="preserve"> to produce positive outcomes for the priority populations, with data. </w:t>
            </w:r>
          </w:p>
          <w:p w:rsidR="00766E49" w:rsidRPr="000234D3" w:rsidRDefault="00766E49" w:rsidP="00766E49">
            <w:pPr>
              <w:rPr>
                <w:rFonts w:eastAsia="Times New Roman" w:cs="Times New Roman"/>
              </w:rPr>
            </w:pPr>
          </w:p>
          <w:p w:rsidR="00766E49" w:rsidRPr="000234D3" w:rsidRDefault="00766E49" w:rsidP="00766E49">
            <w:pPr>
              <w:numPr>
                <w:ilvl w:val="0"/>
                <w:numId w:val="3"/>
              </w:numPr>
              <w:textAlignment w:val="baseline"/>
              <w:rPr>
                <w:rFonts w:eastAsia="Times New Roman" w:cs="Times New Roman"/>
                <w:color w:val="000000"/>
              </w:rPr>
            </w:pPr>
            <w:r w:rsidRPr="000234D3">
              <w:rPr>
                <w:rFonts w:eastAsia="Times New Roman" w:cs="Times New Roman"/>
                <w:color w:val="000000"/>
              </w:rPr>
              <w:t xml:space="preserve">Hub </w:t>
            </w:r>
            <w:r w:rsidRPr="000234D3">
              <w:rPr>
                <w:rFonts w:eastAsia="Times New Roman" w:cs="Times New Roman"/>
                <w:color w:val="000000"/>
                <w:u w:val="single"/>
              </w:rPr>
              <w:t>uses qualitative and quantitative data analysis</w:t>
            </w:r>
            <w:r w:rsidRPr="000234D3">
              <w:rPr>
                <w:rFonts w:eastAsia="Times New Roman" w:cs="Times New Roman"/>
                <w:color w:val="000000"/>
              </w:rPr>
              <w:t xml:space="preserve"> along with feedback from community and family engagement as part of their continuous evaluation process for hub activities, including making adjustments and adaptations. </w:t>
            </w:r>
          </w:p>
          <w:p w:rsidR="00766E49" w:rsidRPr="000234D3" w:rsidRDefault="00766E49" w:rsidP="00766E49">
            <w:pPr>
              <w:rPr>
                <w:rFonts w:eastAsia="Times New Roman" w:cs="Times New Roman"/>
              </w:rPr>
            </w:pPr>
          </w:p>
          <w:p w:rsidR="00766E49" w:rsidRPr="000234D3" w:rsidRDefault="00766E49" w:rsidP="00766E49">
            <w:pPr>
              <w:numPr>
                <w:ilvl w:val="0"/>
                <w:numId w:val="3"/>
              </w:numPr>
              <w:textAlignment w:val="baseline"/>
              <w:rPr>
                <w:rFonts w:eastAsia="Times New Roman" w:cs="Times New Roman"/>
                <w:color w:val="000000"/>
              </w:rPr>
            </w:pPr>
            <w:r w:rsidRPr="000234D3">
              <w:rPr>
                <w:rFonts w:eastAsia="Times New Roman" w:cs="Times New Roman"/>
                <w:color w:val="000000"/>
              </w:rPr>
              <w:t xml:space="preserve">Hub </w:t>
            </w:r>
            <w:r w:rsidRPr="000234D3">
              <w:rPr>
                <w:rFonts w:eastAsia="Times New Roman" w:cs="Times New Roman"/>
                <w:color w:val="000000"/>
                <w:u w:val="single"/>
              </w:rPr>
              <w:t>demonstrates movement from baseline to targets</w:t>
            </w:r>
            <w:r w:rsidRPr="000234D3">
              <w:rPr>
                <w:rFonts w:eastAsia="Times New Roman" w:cs="Times New Roman"/>
                <w:color w:val="000000"/>
              </w:rPr>
              <w:t xml:space="preserve"> within their metrics.</w:t>
            </w:r>
          </w:p>
          <w:p w:rsidR="00766E49" w:rsidRPr="000234D3" w:rsidRDefault="00766E49" w:rsidP="00766E49">
            <w:pPr>
              <w:rPr>
                <w:rFonts w:eastAsia="Times New Roman" w:cs="Times New Roman"/>
              </w:rPr>
            </w:pPr>
          </w:p>
          <w:p w:rsidR="00766E49" w:rsidRPr="000234D3" w:rsidRDefault="00766E49" w:rsidP="00766E49">
            <w:pPr>
              <w:numPr>
                <w:ilvl w:val="0"/>
                <w:numId w:val="3"/>
              </w:numPr>
              <w:textAlignment w:val="baseline"/>
              <w:rPr>
                <w:rFonts w:eastAsia="Times New Roman" w:cs="Times New Roman"/>
                <w:color w:val="000000"/>
              </w:rPr>
            </w:pPr>
            <w:r w:rsidRPr="000234D3">
              <w:rPr>
                <w:rFonts w:eastAsia="Times New Roman" w:cs="Times New Roman"/>
                <w:color w:val="000000"/>
                <w:u w:val="single"/>
              </w:rPr>
              <w:t xml:space="preserve">Work Plan demonstrates strategies and activities for effecting </w:t>
            </w:r>
            <w:proofErr w:type="gramStart"/>
            <w:r w:rsidRPr="000234D3">
              <w:rPr>
                <w:rFonts w:eastAsia="Times New Roman" w:cs="Times New Roman"/>
                <w:color w:val="000000"/>
                <w:u w:val="single"/>
              </w:rPr>
              <w:t>long term</w:t>
            </w:r>
            <w:proofErr w:type="gramEnd"/>
            <w:r w:rsidRPr="000234D3">
              <w:rPr>
                <w:rFonts w:eastAsia="Times New Roman" w:cs="Times New Roman"/>
                <w:color w:val="000000"/>
                <w:u w:val="single"/>
              </w:rPr>
              <w:t xml:space="preserve"> population level changes</w:t>
            </w:r>
            <w:r w:rsidRPr="000234D3">
              <w:rPr>
                <w:rFonts w:eastAsia="Times New Roman" w:cs="Times New Roman"/>
                <w:color w:val="000000"/>
              </w:rPr>
              <w:t xml:space="preserve"> for children furthest from opportunity.</w:t>
            </w:r>
          </w:p>
          <w:p w:rsidR="00766E49" w:rsidRPr="000234D3" w:rsidRDefault="00766E49" w:rsidP="00766E49">
            <w:pPr>
              <w:rPr>
                <w:rFonts w:eastAsia="Times New Roman" w:cs="Times New Roman"/>
              </w:rPr>
            </w:pPr>
          </w:p>
          <w:p w:rsidR="00766E49" w:rsidRPr="000234D3" w:rsidRDefault="00766E49" w:rsidP="00766E49">
            <w:pPr>
              <w:rPr>
                <w:rFonts w:eastAsia="Times New Roman" w:cs="Times New Roman"/>
              </w:rPr>
            </w:pPr>
          </w:p>
          <w:p w:rsidR="00766E49" w:rsidRPr="00AC5FB5" w:rsidRDefault="00766E49" w:rsidP="00766E49">
            <w:pPr>
              <w:ind w:firstLine="720"/>
              <w:rPr>
                <w:rFonts w:eastAsia="Times New Roman" w:cs="Times New Roman"/>
                <w:b/>
              </w:rPr>
            </w:pPr>
            <w:r w:rsidRPr="00AC5FB5">
              <w:rPr>
                <w:rFonts w:eastAsia="Times New Roman" w:cs="Times New Roman"/>
                <w:b/>
                <w:i/>
                <w:iCs/>
                <w:color w:val="000000"/>
              </w:rPr>
              <w:t>Essential Functioning</w:t>
            </w:r>
          </w:p>
          <w:p w:rsidR="00766E49" w:rsidRPr="000234D3" w:rsidRDefault="00766E49" w:rsidP="00766E49">
            <w:pPr>
              <w:rPr>
                <w:rFonts w:eastAsia="Times New Roman" w:cs="Times New Roman"/>
              </w:rPr>
            </w:pPr>
          </w:p>
          <w:p w:rsidR="00766E49" w:rsidRPr="000234D3" w:rsidRDefault="00766E49" w:rsidP="00766E49">
            <w:pPr>
              <w:numPr>
                <w:ilvl w:val="0"/>
                <w:numId w:val="3"/>
              </w:numPr>
              <w:textAlignment w:val="baseline"/>
              <w:rPr>
                <w:rFonts w:eastAsia="Times New Roman" w:cs="Times New Roman"/>
                <w:color w:val="000000"/>
              </w:rPr>
            </w:pPr>
            <w:r w:rsidRPr="000234D3">
              <w:rPr>
                <w:rFonts w:eastAsia="Times New Roman" w:cs="Times New Roman"/>
                <w:color w:val="000000"/>
              </w:rPr>
              <w:t>Hub demonstrates it</w:t>
            </w:r>
            <w:r w:rsidRPr="000234D3">
              <w:rPr>
                <w:rFonts w:eastAsia="Times New Roman" w:cs="Times New Roman"/>
                <w:color w:val="000000"/>
                <w:u w:val="single"/>
              </w:rPr>
              <w:t xml:space="preserve"> meets contractual obligations</w:t>
            </w:r>
            <w:r w:rsidRPr="000234D3">
              <w:rPr>
                <w:rFonts w:eastAsia="Times New Roman" w:cs="Times New Roman"/>
                <w:color w:val="000000"/>
              </w:rPr>
              <w:t xml:space="preserve"> as outlined in the contract with the ELD.</w:t>
            </w:r>
          </w:p>
          <w:p w:rsidR="00BA4B79" w:rsidRPr="00D7702A" w:rsidRDefault="00BA4B79" w:rsidP="00BA4B79">
            <w:pPr>
              <w:spacing w:after="200" w:line="276" w:lineRule="auto"/>
              <w:rPr>
                <w:rFonts w:ascii="Arial" w:hAnsi="Arial" w:cs="Arial"/>
                <w:u w:val="single"/>
              </w:rPr>
            </w:pPr>
          </w:p>
        </w:tc>
      </w:tr>
      <w:tr w:rsidR="00943920" w:rsidTr="00943920">
        <w:tc>
          <w:tcPr>
            <w:tcW w:w="1806" w:type="dxa"/>
          </w:tcPr>
          <w:p w:rsidR="00655BF7" w:rsidRPr="005C077B" w:rsidRDefault="00655BF7">
            <w:pPr>
              <w:rPr>
                <w:rFonts w:ascii="Aharoni" w:hAnsi="Aharoni" w:cs="Aharoni"/>
                <w:sz w:val="24"/>
                <w:szCs w:val="24"/>
              </w:rPr>
            </w:pPr>
            <w:r w:rsidRPr="005C077B">
              <w:rPr>
                <w:rFonts w:ascii="Aharoni" w:hAnsi="Aharoni" w:cs="Aharoni"/>
                <w:sz w:val="24"/>
                <w:szCs w:val="24"/>
              </w:rPr>
              <w:lastRenderedPageBreak/>
              <w:t>Key activities</w:t>
            </w:r>
          </w:p>
        </w:tc>
        <w:tc>
          <w:tcPr>
            <w:tcW w:w="1786" w:type="dxa"/>
          </w:tcPr>
          <w:p w:rsidR="00655BF7" w:rsidRDefault="00655BF7" w:rsidP="00655BF7">
            <w:pPr>
              <w:rPr>
                <w:rFonts w:ascii="Aharoni" w:hAnsi="Aharoni" w:cs="Aharoni"/>
                <w:sz w:val="24"/>
                <w:szCs w:val="24"/>
              </w:rPr>
            </w:pPr>
            <w:r w:rsidRPr="005C077B">
              <w:rPr>
                <w:rFonts w:ascii="Aharoni" w:hAnsi="Aharoni" w:cs="Aharoni"/>
                <w:sz w:val="24"/>
                <w:szCs w:val="24"/>
              </w:rPr>
              <w:t>Indicator</w:t>
            </w:r>
            <w:r>
              <w:rPr>
                <w:rFonts w:ascii="Aharoni" w:hAnsi="Aharoni" w:cs="Aharoni"/>
                <w:sz w:val="24"/>
                <w:szCs w:val="24"/>
              </w:rPr>
              <w:t>(s)</w:t>
            </w:r>
          </w:p>
          <w:p w:rsidR="005C077B" w:rsidRPr="005C077B" w:rsidRDefault="005C077B">
            <w:pPr>
              <w:rPr>
                <w:rFonts w:ascii="Aharoni" w:hAnsi="Aharoni" w:cs="Aharoni"/>
                <w:sz w:val="24"/>
                <w:szCs w:val="24"/>
              </w:rPr>
            </w:pPr>
          </w:p>
        </w:tc>
        <w:tc>
          <w:tcPr>
            <w:tcW w:w="1793" w:type="dxa"/>
          </w:tcPr>
          <w:p w:rsidR="005C077B" w:rsidRPr="005C077B" w:rsidRDefault="005C077B">
            <w:pPr>
              <w:rPr>
                <w:rFonts w:ascii="Aharoni" w:hAnsi="Aharoni" w:cs="Aharoni"/>
                <w:sz w:val="24"/>
                <w:szCs w:val="24"/>
              </w:rPr>
            </w:pPr>
            <w:r w:rsidRPr="005C077B">
              <w:rPr>
                <w:rFonts w:ascii="Aharoni" w:hAnsi="Aharoni" w:cs="Aharoni"/>
                <w:sz w:val="24"/>
                <w:szCs w:val="24"/>
              </w:rPr>
              <w:t>Target Population</w:t>
            </w:r>
          </w:p>
        </w:tc>
        <w:tc>
          <w:tcPr>
            <w:tcW w:w="1783" w:type="dxa"/>
          </w:tcPr>
          <w:p w:rsidR="005C077B" w:rsidRPr="005C077B" w:rsidRDefault="005C077B">
            <w:pPr>
              <w:rPr>
                <w:rFonts w:ascii="Aharoni" w:hAnsi="Aharoni" w:cs="Aharoni"/>
                <w:sz w:val="24"/>
                <w:szCs w:val="24"/>
              </w:rPr>
            </w:pPr>
            <w:r>
              <w:rPr>
                <w:rFonts w:ascii="Aharoni" w:hAnsi="Aharoni" w:cs="Aharoni"/>
                <w:sz w:val="24"/>
                <w:szCs w:val="24"/>
              </w:rPr>
              <w:t>P</w:t>
            </w:r>
            <w:r w:rsidRPr="005C077B">
              <w:rPr>
                <w:rFonts w:ascii="Aharoni" w:hAnsi="Aharoni" w:cs="Aharoni"/>
                <w:sz w:val="24"/>
                <w:szCs w:val="24"/>
              </w:rPr>
              <w:t>artners</w:t>
            </w:r>
          </w:p>
        </w:tc>
        <w:tc>
          <w:tcPr>
            <w:tcW w:w="1760" w:type="dxa"/>
          </w:tcPr>
          <w:p w:rsidR="005C077B" w:rsidRPr="005C077B" w:rsidRDefault="005C077B">
            <w:pPr>
              <w:rPr>
                <w:rFonts w:ascii="Aharoni" w:hAnsi="Aharoni" w:cs="Aharoni"/>
                <w:sz w:val="24"/>
                <w:szCs w:val="24"/>
              </w:rPr>
            </w:pPr>
            <w:r w:rsidRPr="005C077B">
              <w:rPr>
                <w:rFonts w:ascii="Aharoni" w:hAnsi="Aharoni" w:cs="Aharoni"/>
                <w:sz w:val="24"/>
                <w:szCs w:val="24"/>
              </w:rPr>
              <w:t>Timeline</w:t>
            </w:r>
          </w:p>
        </w:tc>
        <w:tc>
          <w:tcPr>
            <w:tcW w:w="2397" w:type="dxa"/>
          </w:tcPr>
          <w:p w:rsidR="005C077B" w:rsidRPr="005C077B" w:rsidRDefault="005C077B">
            <w:pPr>
              <w:rPr>
                <w:rFonts w:ascii="Aharoni" w:hAnsi="Aharoni" w:cs="Aharoni"/>
                <w:sz w:val="24"/>
                <w:szCs w:val="24"/>
              </w:rPr>
            </w:pPr>
            <w:r w:rsidRPr="005C077B">
              <w:rPr>
                <w:rFonts w:ascii="Aharoni" w:hAnsi="Aharoni" w:cs="Aharoni"/>
                <w:sz w:val="24"/>
                <w:szCs w:val="24"/>
              </w:rPr>
              <w:t>Measurement/Data Source</w:t>
            </w:r>
          </w:p>
        </w:tc>
        <w:tc>
          <w:tcPr>
            <w:tcW w:w="1851" w:type="dxa"/>
          </w:tcPr>
          <w:p w:rsidR="005C077B" w:rsidRPr="005C077B" w:rsidRDefault="005C077B" w:rsidP="000A2AA7">
            <w:pPr>
              <w:rPr>
                <w:rFonts w:ascii="Aharoni" w:hAnsi="Aharoni" w:cs="Aharoni"/>
                <w:sz w:val="24"/>
                <w:szCs w:val="24"/>
              </w:rPr>
            </w:pPr>
            <w:r w:rsidRPr="005C077B">
              <w:rPr>
                <w:rFonts w:ascii="Aharoni" w:hAnsi="Aharoni" w:cs="Aharoni"/>
                <w:sz w:val="24"/>
                <w:szCs w:val="24"/>
              </w:rPr>
              <w:t xml:space="preserve">ELD Funding </w:t>
            </w:r>
            <w:r w:rsidR="000A2AA7">
              <w:rPr>
                <w:rFonts w:ascii="Aharoni" w:hAnsi="Aharoni" w:cs="Aharoni"/>
                <w:sz w:val="24"/>
                <w:szCs w:val="24"/>
              </w:rPr>
              <w:t>S</w:t>
            </w:r>
            <w:r w:rsidRPr="005C077B">
              <w:rPr>
                <w:rFonts w:ascii="Aharoni" w:hAnsi="Aharoni" w:cs="Aharoni"/>
                <w:sz w:val="24"/>
                <w:szCs w:val="24"/>
              </w:rPr>
              <w:t xml:space="preserve">tream/Other funding </w:t>
            </w:r>
          </w:p>
        </w:tc>
      </w:tr>
      <w:tr w:rsidR="00943920" w:rsidTr="00943920">
        <w:tc>
          <w:tcPr>
            <w:tcW w:w="1806" w:type="dxa"/>
          </w:tcPr>
          <w:p w:rsidR="00ED7E23" w:rsidRDefault="00ED7E23" w:rsidP="00ED7E23">
            <w:r>
              <w:t>Pollywog</w:t>
            </w:r>
          </w:p>
        </w:tc>
        <w:tc>
          <w:tcPr>
            <w:tcW w:w="1786" w:type="dxa"/>
          </w:tcPr>
          <w:p w:rsidR="00ED7E23" w:rsidRDefault="00ED7E23" w:rsidP="00ED7E23">
            <w:r>
              <w:t xml:space="preserve">1.2, 1.5, 1.6, </w:t>
            </w:r>
          </w:p>
        </w:tc>
        <w:tc>
          <w:tcPr>
            <w:tcW w:w="1793" w:type="dxa"/>
          </w:tcPr>
          <w:p w:rsidR="00ED7E23" w:rsidRDefault="00ED7E23" w:rsidP="00ED7E23">
            <w:r>
              <w:t>Universal Project targeting services beginning Prenatally</w:t>
            </w:r>
          </w:p>
        </w:tc>
        <w:tc>
          <w:tcPr>
            <w:tcW w:w="1783" w:type="dxa"/>
          </w:tcPr>
          <w:p w:rsidR="00ED7E23" w:rsidRDefault="00ED7E23" w:rsidP="00ED7E23">
            <w:r>
              <w:t>Samaritan Health Services, Family Connections and Partner Agencies throughout the Region</w:t>
            </w:r>
          </w:p>
        </w:tc>
        <w:tc>
          <w:tcPr>
            <w:tcW w:w="1760" w:type="dxa"/>
          </w:tcPr>
          <w:p w:rsidR="00ED7E23" w:rsidRDefault="00ED7E23" w:rsidP="00ED7E23">
            <w:r>
              <w:t>Ongoing</w:t>
            </w:r>
          </w:p>
        </w:tc>
        <w:tc>
          <w:tcPr>
            <w:tcW w:w="2397" w:type="dxa"/>
          </w:tcPr>
          <w:p w:rsidR="00ED7E23" w:rsidRDefault="00ED7E23" w:rsidP="00ED7E23">
            <w:r>
              <w:t>Vista Logic Database – Number of entries, closed looped referrals</w:t>
            </w:r>
          </w:p>
          <w:p w:rsidR="00ED7E23" w:rsidRDefault="00ED7E23" w:rsidP="00ED7E23">
            <w:r>
              <w:t>CCO Quarterly Report</w:t>
            </w:r>
          </w:p>
        </w:tc>
        <w:tc>
          <w:tcPr>
            <w:tcW w:w="1851" w:type="dxa"/>
          </w:tcPr>
          <w:p w:rsidR="00ED7E23" w:rsidRDefault="00ED7E23" w:rsidP="00ED7E23">
            <w:r w:rsidRPr="009217A5">
              <w:t>IHN-CCO Funding</w:t>
            </w:r>
          </w:p>
        </w:tc>
      </w:tr>
      <w:tr w:rsidR="00943920" w:rsidTr="00943920">
        <w:tc>
          <w:tcPr>
            <w:tcW w:w="1806" w:type="dxa"/>
          </w:tcPr>
          <w:p w:rsidR="005C077B" w:rsidRDefault="00B77D40">
            <w:r>
              <w:t xml:space="preserve">Board Retreat (targeted </w:t>
            </w:r>
            <w:r w:rsidR="008E2DFD">
              <w:t xml:space="preserve">&amp; responsive </w:t>
            </w:r>
            <w:r>
              <w:t>investment planning)</w:t>
            </w:r>
          </w:p>
        </w:tc>
        <w:tc>
          <w:tcPr>
            <w:tcW w:w="1786" w:type="dxa"/>
          </w:tcPr>
          <w:p w:rsidR="005C077B" w:rsidRDefault="00ED7E23">
            <w:r>
              <w:t>1.3 &amp; Process Indicator 2, and Productivity Indicators 5 &amp; 6</w:t>
            </w:r>
          </w:p>
        </w:tc>
        <w:tc>
          <w:tcPr>
            <w:tcW w:w="1793" w:type="dxa"/>
          </w:tcPr>
          <w:p w:rsidR="005C077B" w:rsidRDefault="00B77D40">
            <w:r>
              <w:t>N/A</w:t>
            </w:r>
          </w:p>
        </w:tc>
        <w:tc>
          <w:tcPr>
            <w:tcW w:w="1783" w:type="dxa"/>
          </w:tcPr>
          <w:p w:rsidR="005C077B" w:rsidRDefault="00B77D40">
            <w:r>
              <w:t>Current Board Members and Contracted Facilitator</w:t>
            </w:r>
          </w:p>
        </w:tc>
        <w:tc>
          <w:tcPr>
            <w:tcW w:w="1760" w:type="dxa"/>
          </w:tcPr>
          <w:p w:rsidR="005C077B" w:rsidRDefault="00B77D40">
            <w:r>
              <w:t xml:space="preserve">Annually </w:t>
            </w:r>
          </w:p>
          <w:p w:rsidR="00B77D40" w:rsidRDefault="00B77D40">
            <w:r>
              <w:t>March 2018 - Scheduled</w:t>
            </w:r>
          </w:p>
        </w:tc>
        <w:tc>
          <w:tcPr>
            <w:tcW w:w="2397" w:type="dxa"/>
          </w:tcPr>
          <w:p w:rsidR="005C077B" w:rsidRDefault="00B77D40">
            <w:r>
              <w:t>Policy/Process for Targeted Investments</w:t>
            </w:r>
            <w:r w:rsidR="008E2DFD">
              <w:t xml:space="preserve"> and for Community Responsive Funds</w:t>
            </w:r>
          </w:p>
        </w:tc>
        <w:tc>
          <w:tcPr>
            <w:tcW w:w="1851" w:type="dxa"/>
          </w:tcPr>
          <w:p w:rsidR="005C077B" w:rsidRDefault="00B77D40">
            <w:r>
              <w:t>Coordination Funds</w:t>
            </w:r>
          </w:p>
        </w:tc>
      </w:tr>
      <w:tr w:rsidR="00943920" w:rsidTr="00943920">
        <w:tc>
          <w:tcPr>
            <w:tcW w:w="1806" w:type="dxa"/>
          </w:tcPr>
          <w:p w:rsidR="005C077B" w:rsidRDefault="00B77D40">
            <w:r>
              <w:t xml:space="preserve">Epidemiologist Intern and Data &amp; Evaluation Work Group </w:t>
            </w:r>
          </w:p>
        </w:tc>
        <w:tc>
          <w:tcPr>
            <w:tcW w:w="1786" w:type="dxa"/>
          </w:tcPr>
          <w:p w:rsidR="005C077B" w:rsidRDefault="00B77D40">
            <w:r>
              <w:t>1.2, 1.3, Process Indicator 3, &amp; Productivity Indicator 7</w:t>
            </w:r>
          </w:p>
        </w:tc>
        <w:tc>
          <w:tcPr>
            <w:tcW w:w="1793" w:type="dxa"/>
          </w:tcPr>
          <w:p w:rsidR="005C077B" w:rsidRDefault="00B77D40">
            <w:r>
              <w:t>N/A</w:t>
            </w:r>
          </w:p>
        </w:tc>
        <w:tc>
          <w:tcPr>
            <w:tcW w:w="1783" w:type="dxa"/>
          </w:tcPr>
          <w:p w:rsidR="005C077B" w:rsidRDefault="00B77D40">
            <w:r>
              <w:t>Benton County Health Department, OSU, D&amp;E workgroup participants</w:t>
            </w:r>
          </w:p>
          <w:p w:rsidR="00ED7E23" w:rsidRDefault="00ED7E23"/>
        </w:tc>
        <w:tc>
          <w:tcPr>
            <w:tcW w:w="1760" w:type="dxa"/>
          </w:tcPr>
          <w:p w:rsidR="005C077B" w:rsidRDefault="00B77D40">
            <w:r>
              <w:t>Ongoing</w:t>
            </w:r>
          </w:p>
        </w:tc>
        <w:tc>
          <w:tcPr>
            <w:tcW w:w="2397" w:type="dxa"/>
          </w:tcPr>
          <w:p w:rsidR="005C077B" w:rsidRDefault="00B77D40">
            <w:r>
              <w:t>Population Data, KA Data, ESD Data, CCO Data, Pollywog Data, and other data sets as needed or discovered</w:t>
            </w:r>
          </w:p>
        </w:tc>
        <w:tc>
          <w:tcPr>
            <w:tcW w:w="1851" w:type="dxa"/>
          </w:tcPr>
          <w:p w:rsidR="005C077B" w:rsidRDefault="00B77D40">
            <w:r>
              <w:t>Coordination Funds</w:t>
            </w:r>
          </w:p>
        </w:tc>
      </w:tr>
      <w:tr w:rsidR="00943920" w:rsidTr="00943920">
        <w:tc>
          <w:tcPr>
            <w:tcW w:w="1806" w:type="dxa"/>
          </w:tcPr>
          <w:p w:rsidR="005C077B" w:rsidRDefault="00B77D40">
            <w:r>
              <w:t>Parent Engagement</w:t>
            </w:r>
            <w:r w:rsidR="009210C9">
              <w:t xml:space="preserve"> and Outreach</w:t>
            </w:r>
          </w:p>
        </w:tc>
        <w:tc>
          <w:tcPr>
            <w:tcW w:w="1786" w:type="dxa"/>
          </w:tcPr>
          <w:p w:rsidR="005C077B" w:rsidRDefault="009210C9">
            <w:r>
              <w:t>1.6, Productivity Indicator 4</w:t>
            </w:r>
          </w:p>
        </w:tc>
        <w:tc>
          <w:tcPr>
            <w:tcW w:w="1793" w:type="dxa"/>
          </w:tcPr>
          <w:p w:rsidR="005C077B" w:rsidRDefault="00B77D40">
            <w:r>
              <w:t>Parents</w:t>
            </w:r>
          </w:p>
        </w:tc>
        <w:tc>
          <w:tcPr>
            <w:tcW w:w="1783" w:type="dxa"/>
          </w:tcPr>
          <w:p w:rsidR="005C077B" w:rsidRDefault="009210C9">
            <w:r>
              <w:t>Old Mill Center (shared position)</w:t>
            </w:r>
          </w:p>
        </w:tc>
        <w:tc>
          <w:tcPr>
            <w:tcW w:w="1760" w:type="dxa"/>
          </w:tcPr>
          <w:p w:rsidR="005C077B" w:rsidRDefault="009210C9">
            <w:r>
              <w:t>Ongoing</w:t>
            </w:r>
          </w:p>
        </w:tc>
        <w:tc>
          <w:tcPr>
            <w:tcW w:w="2397" w:type="dxa"/>
          </w:tcPr>
          <w:p w:rsidR="005C077B" w:rsidRDefault="009210C9">
            <w:r>
              <w:t xml:space="preserve">Feedback from Parent Focus Groups, parent surveys, and PEC </w:t>
            </w:r>
            <w:r>
              <w:lastRenderedPageBreak/>
              <w:t>listening sessions</w:t>
            </w:r>
            <w:bookmarkStart w:id="0" w:name="_GoBack"/>
            <w:bookmarkEnd w:id="0"/>
          </w:p>
        </w:tc>
        <w:tc>
          <w:tcPr>
            <w:tcW w:w="1851" w:type="dxa"/>
          </w:tcPr>
          <w:p w:rsidR="005C077B" w:rsidRDefault="009210C9">
            <w:r>
              <w:lastRenderedPageBreak/>
              <w:t>Coordination Funds</w:t>
            </w:r>
          </w:p>
        </w:tc>
      </w:tr>
      <w:tr w:rsidR="00943920" w:rsidTr="00943920">
        <w:tc>
          <w:tcPr>
            <w:tcW w:w="1806" w:type="dxa"/>
          </w:tcPr>
          <w:p w:rsidR="005C077B" w:rsidRDefault="00B77D40">
            <w:r>
              <w:t>Board Member Recruitment</w:t>
            </w:r>
          </w:p>
        </w:tc>
        <w:tc>
          <w:tcPr>
            <w:tcW w:w="1786" w:type="dxa"/>
          </w:tcPr>
          <w:p w:rsidR="005C077B" w:rsidRDefault="00B77D40">
            <w:r>
              <w:t>Process Indicator 2</w:t>
            </w:r>
          </w:p>
        </w:tc>
        <w:tc>
          <w:tcPr>
            <w:tcW w:w="1793" w:type="dxa"/>
          </w:tcPr>
          <w:p w:rsidR="005C077B" w:rsidRDefault="00B77D40">
            <w:r>
              <w:t>N/A</w:t>
            </w:r>
          </w:p>
        </w:tc>
        <w:tc>
          <w:tcPr>
            <w:tcW w:w="1783" w:type="dxa"/>
          </w:tcPr>
          <w:p w:rsidR="005C077B" w:rsidRDefault="00B77D40">
            <w:r>
              <w:t>Current Board Members and Community Partners</w:t>
            </w:r>
          </w:p>
        </w:tc>
        <w:tc>
          <w:tcPr>
            <w:tcW w:w="1760" w:type="dxa"/>
          </w:tcPr>
          <w:p w:rsidR="005C077B" w:rsidRDefault="00B77D40">
            <w:r>
              <w:t>Ongoing until all vacant seats are filled and as needed for new vacancies</w:t>
            </w:r>
          </w:p>
        </w:tc>
        <w:tc>
          <w:tcPr>
            <w:tcW w:w="2397" w:type="dxa"/>
          </w:tcPr>
          <w:p w:rsidR="005C077B" w:rsidRDefault="00B77D40">
            <w:r>
              <w:t>Board meeting attendance</w:t>
            </w:r>
          </w:p>
        </w:tc>
        <w:tc>
          <w:tcPr>
            <w:tcW w:w="1851" w:type="dxa"/>
          </w:tcPr>
          <w:p w:rsidR="005C077B" w:rsidRDefault="00B77D40">
            <w:r>
              <w:t>No Cost Associated</w:t>
            </w:r>
          </w:p>
        </w:tc>
      </w:tr>
      <w:tr w:rsidR="00943920" w:rsidTr="00943920">
        <w:tc>
          <w:tcPr>
            <w:tcW w:w="1806" w:type="dxa"/>
          </w:tcPr>
          <w:p w:rsidR="005C077B" w:rsidRDefault="00B77D40">
            <w:r>
              <w:t>Community Asset Mapping</w:t>
            </w:r>
          </w:p>
        </w:tc>
        <w:tc>
          <w:tcPr>
            <w:tcW w:w="1786" w:type="dxa"/>
          </w:tcPr>
          <w:p w:rsidR="005C077B" w:rsidRDefault="00ED7E23">
            <w:r>
              <w:t>Productivity Indicator 4</w:t>
            </w:r>
          </w:p>
        </w:tc>
        <w:tc>
          <w:tcPr>
            <w:tcW w:w="1793" w:type="dxa"/>
          </w:tcPr>
          <w:p w:rsidR="005C077B" w:rsidRDefault="00ED7E23">
            <w:r>
              <w:t>N/A</w:t>
            </w:r>
          </w:p>
        </w:tc>
        <w:tc>
          <w:tcPr>
            <w:tcW w:w="1783" w:type="dxa"/>
          </w:tcPr>
          <w:p w:rsidR="005C077B" w:rsidRDefault="00ED7E23">
            <w:r>
              <w:t>Parents &amp; Community partners</w:t>
            </w:r>
          </w:p>
        </w:tc>
        <w:tc>
          <w:tcPr>
            <w:tcW w:w="1760" w:type="dxa"/>
          </w:tcPr>
          <w:p w:rsidR="005C077B" w:rsidRDefault="00ED7E23">
            <w:r>
              <w:t xml:space="preserve">Ongoing beginning January </w:t>
            </w:r>
            <w:r w:rsidR="00943920">
              <w:t>2018 with new communities added on a rolling schedule</w:t>
            </w:r>
          </w:p>
        </w:tc>
        <w:tc>
          <w:tcPr>
            <w:tcW w:w="2397" w:type="dxa"/>
          </w:tcPr>
          <w:p w:rsidR="005C077B" w:rsidRDefault="00943920">
            <w:r>
              <w:t>Community Input resulting in a final map of resources by community</w:t>
            </w:r>
          </w:p>
        </w:tc>
        <w:tc>
          <w:tcPr>
            <w:tcW w:w="1851" w:type="dxa"/>
          </w:tcPr>
          <w:p w:rsidR="005C077B" w:rsidRDefault="00ED7E23">
            <w:r>
              <w:t>Coordination Funds</w:t>
            </w:r>
          </w:p>
        </w:tc>
      </w:tr>
      <w:tr w:rsidR="005C077B" w:rsidTr="00C14E69">
        <w:tc>
          <w:tcPr>
            <w:tcW w:w="13176" w:type="dxa"/>
            <w:gridSpan w:val="7"/>
          </w:tcPr>
          <w:p w:rsidR="005C077B" w:rsidRPr="004549E5" w:rsidRDefault="005C077B" w:rsidP="005C077B">
            <w:pPr>
              <w:rPr>
                <w:rFonts w:ascii="Arial" w:eastAsia="Times New Roman" w:hAnsi="Arial" w:cs="Arial"/>
                <w:b/>
                <w:color w:val="C0504D" w:themeColor="accent2"/>
              </w:rPr>
            </w:pPr>
            <w:r w:rsidRPr="004549E5">
              <w:rPr>
                <w:rFonts w:ascii="Arial" w:hAnsi="Arial" w:cs="Arial"/>
                <w:b/>
                <w:color w:val="C0504D" w:themeColor="accent2"/>
                <w:sz w:val="24"/>
              </w:rPr>
              <w:t>Outcome Two:</w:t>
            </w:r>
            <w:r w:rsidRPr="004549E5">
              <w:rPr>
                <w:rFonts w:ascii="Arial" w:hAnsi="Arial" w:cs="Arial"/>
                <w:color w:val="C0504D" w:themeColor="accent2"/>
                <w:sz w:val="24"/>
              </w:rPr>
              <w:t xml:space="preserve"> </w:t>
            </w:r>
            <w:r w:rsidRPr="004549E5">
              <w:rPr>
                <w:rFonts w:ascii="Arial" w:eastAsia="Times New Roman" w:hAnsi="Arial" w:cs="Arial"/>
                <w:b/>
                <w:i/>
                <w:color w:val="C0504D" w:themeColor="accent2"/>
                <w:sz w:val="24"/>
                <w:szCs w:val="24"/>
              </w:rPr>
              <w:t>Children are supported to enter school ready to succeed</w:t>
            </w:r>
          </w:p>
          <w:p w:rsidR="005C077B" w:rsidRPr="00D7702A" w:rsidRDefault="005C077B" w:rsidP="00C14E69">
            <w:pPr>
              <w:spacing w:after="200" w:line="276" w:lineRule="auto"/>
              <w:rPr>
                <w:rFonts w:ascii="Arial" w:hAnsi="Arial" w:cs="Arial"/>
                <w:b/>
              </w:rPr>
            </w:pPr>
          </w:p>
        </w:tc>
      </w:tr>
      <w:tr w:rsidR="005C077B" w:rsidTr="00C14E69">
        <w:tc>
          <w:tcPr>
            <w:tcW w:w="13176" w:type="dxa"/>
            <w:gridSpan w:val="7"/>
          </w:tcPr>
          <w:p w:rsidR="003D4CBD" w:rsidRDefault="005C077B" w:rsidP="00C14E69">
            <w:pPr>
              <w:spacing w:after="200" w:line="276" w:lineRule="auto"/>
              <w:rPr>
                <w:rFonts w:ascii="Calibri" w:eastAsia="Times New Roman" w:hAnsi="Calibri" w:cs="Times New Roman"/>
                <w:color w:val="000000"/>
              </w:rPr>
            </w:pPr>
            <w:r>
              <w:rPr>
                <w:rFonts w:ascii="Arial" w:hAnsi="Arial" w:cs="Arial"/>
                <w:b/>
                <w:sz w:val="24"/>
                <w:szCs w:val="24"/>
              </w:rPr>
              <w:t>Hub Roles</w:t>
            </w:r>
            <w:r w:rsidRPr="00464D8B">
              <w:rPr>
                <w:rFonts w:ascii="Arial" w:hAnsi="Arial" w:cs="Arial"/>
                <w:b/>
                <w:sz w:val="24"/>
                <w:szCs w:val="24"/>
              </w:rPr>
              <w:t xml:space="preserve">: </w:t>
            </w:r>
            <w:proofErr w:type="gramStart"/>
            <w:r w:rsidR="00644485" w:rsidRPr="001D5628">
              <w:rPr>
                <w:rFonts w:ascii="Calibri" w:eastAsia="Times New Roman" w:hAnsi="Calibri" w:cs="Times New Roman"/>
                <w:color w:val="000000"/>
              </w:rPr>
              <w:t xml:space="preserve">2.1  </w:t>
            </w:r>
            <w:r w:rsidR="00BA4B79">
              <w:rPr>
                <w:rFonts w:ascii="Calibri" w:eastAsia="Times New Roman" w:hAnsi="Calibri" w:cs="Times New Roman"/>
                <w:color w:val="000000"/>
              </w:rPr>
              <w:t>Facilitate</w:t>
            </w:r>
            <w:proofErr w:type="gramEnd"/>
            <w:r w:rsidR="00644485" w:rsidRPr="001D5628">
              <w:rPr>
                <w:rFonts w:ascii="Calibri" w:eastAsia="Times New Roman" w:hAnsi="Calibri" w:cs="Times New Roman"/>
                <w:bCs/>
                <w:color w:val="000000"/>
              </w:rPr>
              <w:t xml:space="preserve"> shared understanding and collaboration</w:t>
            </w:r>
            <w:r w:rsidR="00644485" w:rsidRPr="001D5628">
              <w:rPr>
                <w:rFonts w:ascii="Calibri" w:eastAsia="Times New Roman" w:hAnsi="Calibri" w:cs="Times New Roman"/>
                <w:color w:val="000000"/>
              </w:rPr>
              <w:t xml:space="preserve"> between early learning and K-12 partners regarding expectations about the skills and abilit</w:t>
            </w:r>
            <w:r w:rsidR="003D4CBD">
              <w:rPr>
                <w:rFonts w:ascii="Calibri" w:eastAsia="Times New Roman" w:hAnsi="Calibri" w:cs="Times New Roman"/>
                <w:color w:val="000000"/>
              </w:rPr>
              <w:t xml:space="preserve">ies of children entering school.  </w:t>
            </w:r>
          </w:p>
          <w:p w:rsidR="003D4CBD" w:rsidRPr="00531963" w:rsidRDefault="003D4CBD" w:rsidP="003D4CBD">
            <w:pPr>
              <w:rPr>
                <w:rFonts w:ascii="Calibri" w:eastAsia="Times New Roman" w:hAnsi="Calibri" w:cs="Times New Roman"/>
              </w:rPr>
            </w:pPr>
            <w:r>
              <w:rPr>
                <w:rFonts w:ascii="Calibri" w:eastAsia="Times New Roman" w:hAnsi="Calibri" w:cs="Times New Roman"/>
                <w:color w:val="000000"/>
              </w:rPr>
              <w:t>Indicator A-</w:t>
            </w:r>
            <w:r w:rsidRPr="00531963">
              <w:rPr>
                <w:rFonts w:ascii="Calibri" w:eastAsia="Times New Roman" w:hAnsi="Calibri" w:cs="Times New Roman"/>
              </w:rPr>
              <w:t xml:space="preserve"> Early learning and K-12 professionals demonstrate increases in shared language, activities, and expectations regarding kindergarten readiness.                         </w:t>
            </w:r>
          </w:p>
          <w:p w:rsidR="003D4CBD" w:rsidRPr="00531963" w:rsidRDefault="003D4CBD" w:rsidP="003D4CBD">
            <w:pPr>
              <w:rPr>
                <w:rFonts w:ascii="Calibri" w:eastAsia="Times New Roman" w:hAnsi="Calibri" w:cs="Times New Roman"/>
              </w:rPr>
            </w:pPr>
          </w:p>
          <w:p w:rsidR="003D4CBD" w:rsidRDefault="003D4CBD" w:rsidP="003D4CBD">
            <w:pPr>
              <w:spacing w:after="200" w:line="276" w:lineRule="auto"/>
              <w:rPr>
                <w:rFonts w:ascii="Calibri" w:eastAsia="Times New Roman" w:hAnsi="Calibri" w:cs="Times New Roman"/>
                <w:color w:val="000000"/>
              </w:rPr>
            </w:pPr>
            <w:r>
              <w:rPr>
                <w:rFonts w:ascii="Calibri" w:eastAsia="Times New Roman" w:hAnsi="Calibri" w:cs="Times New Roman"/>
              </w:rPr>
              <w:t>Indicator B-</w:t>
            </w:r>
            <w:r w:rsidRPr="00531963">
              <w:rPr>
                <w:rFonts w:ascii="Calibri" w:eastAsia="Times New Roman" w:hAnsi="Calibri" w:cs="Times New Roman"/>
              </w:rPr>
              <w:t xml:space="preserve">K-12 and early learning partners demonstrate common data collection and tracking strategies for decision-making and partnership activities.      </w:t>
            </w:r>
          </w:p>
          <w:p w:rsidR="00644485" w:rsidRDefault="00644485" w:rsidP="00C14E69">
            <w:pPr>
              <w:spacing w:after="200" w:line="276" w:lineRule="auto"/>
              <w:rPr>
                <w:rFonts w:ascii="Calibri" w:eastAsia="Times New Roman" w:hAnsi="Calibri" w:cs="Times New Roman"/>
                <w:color w:val="000000"/>
              </w:rPr>
            </w:pPr>
            <w:proofErr w:type="gramStart"/>
            <w:r w:rsidRPr="001D5628">
              <w:rPr>
                <w:rFonts w:ascii="Calibri" w:eastAsia="Times New Roman" w:hAnsi="Calibri" w:cs="Times New Roman"/>
                <w:color w:val="000000"/>
              </w:rPr>
              <w:t xml:space="preserve">2.2  </w:t>
            </w:r>
            <w:r w:rsidR="00BA4B79">
              <w:rPr>
                <w:rFonts w:ascii="Calibri" w:eastAsia="Times New Roman" w:hAnsi="Calibri" w:cs="Times New Roman"/>
                <w:bCs/>
                <w:color w:val="000000"/>
              </w:rPr>
              <w:t>F</w:t>
            </w:r>
            <w:r w:rsidRPr="001D5628">
              <w:rPr>
                <w:rFonts w:ascii="Calibri" w:eastAsia="Times New Roman" w:hAnsi="Calibri" w:cs="Times New Roman"/>
                <w:bCs/>
                <w:color w:val="000000"/>
              </w:rPr>
              <w:t>acilitate</w:t>
            </w:r>
            <w:proofErr w:type="gramEnd"/>
            <w:r w:rsidRPr="001D5628">
              <w:rPr>
                <w:rFonts w:ascii="Calibri" w:eastAsia="Times New Roman" w:hAnsi="Calibri" w:cs="Times New Roman"/>
                <w:bCs/>
                <w:color w:val="000000"/>
              </w:rPr>
              <w:t xml:space="preserve"> culturally responsive family engagement activities</w:t>
            </w:r>
            <w:r w:rsidRPr="001D5628">
              <w:rPr>
                <w:rFonts w:ascii="Calibri" w:eastAsia="Times New Roman" w:hAnsi="Calibri" w:cs="Times New Roman"/>
                <w:color w:val="000000"/>
              </w:rPr>
              <w:t xml:space="preserve"> across the community that promote seamless transitions into kindergarten and the family’s comfort and engagement at their child’s school.</w:t>
            </w:r>
          </w:p>
          <w:p w:rsidR="003D4CBD" w:rsidRDefault="003D4CBD" w:rsidP="003D4CBD">
            <w:pPr>
              <w:rPr>
                <w:rFonts w:ascii="Calibri" w:eastAsia="Times New Roman" w:hAnsi="Calibri" w:cs="Times New Roman"/>
                <w:color w:val="000000"/>
              </w:rPr>
            </w:pPr>
            <w:r>
              <w:rPr>
                <w:rFonts w:ascii="Calibri" w:eastAsia="Times New Roman" w:hAnsi="Calibri" w:cs="Times New Roman"/>
                <w:color w:val="000000"/>
              </w:rPr>
              <w:t>Indicator A-</w:t>
            </w:r>
            <w:r w:rsidRPr="00AA258E">
              <w:rPr>
                <w:rFonts w:ascii="Calibri" w:eastAsia="Times New Roman" w:hAnsi="Calibri" w:cs="Times New Roman"/>
                <w:color w:val="000000"/>
              </w:rPr>
              <w:t xml:space="preserve"> Families report increased comfort and engagement in the school setting.                           </w:t>
            </w:r>
            <w:r>
              <w:rPr>
                <w:rFonts w:ascii="Calibri" w:eastAsia="Times New Roman" w:hAnsi="Calibri" w:cs="Times New Roman"/>
                <w:color w:val="000000"/>
              </w:rPr>
              <w:t xml:space="preserve">       </w:t>
            </w:r>
          </w:p>
          <w:p w:rsidR="003D4CBD" w:rsidRDefault="003D4CBD" w:rsidP="003D4CBD">
            <w:pPr>
              <w:rPr>
                <w:rFonts w:ascii="Calibri" w:eastAsia="Times New Roman" w:hAnsi="Calibri" w:cs="Times New Roman"/>
                <w:color w:val="C00000"/>
              </w:rPr>
            </w:pPr>
          </w:p>
          <w:p w:rsidR="003D4CBD" w:rsidRPr="00C6787C" w:rsidRDefault="003D4CBD" w:rsidP="003D4CBD">
            <w:pPr>
              <w:rPr>
                <w:rFonts w:ascii="Calibri" w:eastAsia="Times New Roman" w:hAnsi="Calibri" w:cs="Times New Roman"/>
                <w:i/>
              </w:rPr>
            </w:pPr>
            <w:r>
              <w:rPr>
                <w:rFonts w:ascii="Calibri" w:eastAsia="Times New Roman" w:hAnsi="Calibri" w:cs="Times New Roman"/>
              </w:rPr>
              <w:lastRenderedPageBreak/>
              <w:t>Indicator B-</w:t>
            </w:r>
            <w:r w:rsidRPr="00C6787C">
              <w:rPr>
                <w:rFonts w:ascii="Calibri" w:eastAsia="Times New Roman" w:hAnsi="Calibri" w:cs="Times New Roman"/>
              </w:rPr>
              <w:t>Families report increase in their child’s readiness for kindergarten</w:t>
            </w:r>
            <w:r w:rsidRPr="00C6787C">
              <w:rPr>
                <w:rFonts w:ascii="Calibri" w:eastAsia="Times New Roman" w:hAnsi="Calibri" w:cs="Times New Roman"/>
                <w:i/>
              </w:rPr>
              <w:t xml:space="preserve"> </w:t>
            </w:r>
          </w:p>
          <w:p w:rsidR="003D4CBD" w:rsidRPr="00772E70" w:rsidRDefault="003D4CBD" w:rsidP="003D4CBD">
            <w:pPr>
              <w:rPr>
                <w:rFonts w:ascii="Calibri" w:eastAsia="Times New Roman" w:hAnsi="Calibri" w:cs="Times New Roman"/>
                <w:color w:val="C00000"/>
              </w:rPr>
            </w:pPr>
          </w:p>
          <w:p w:rsidR="003D4CBD" w:rsidRDefault="003D4CBD" w:rsidP="003D4CBD">
            <w:pPr>
              <w:spacing w:after="200" w:line="276" w:lineRule="auto"/>
              <w:rPr>
                <w:rFonts w:ascii="Calibri" w:eastAsia="Times New Roman" w:hAnsi="Calibri" w:cs="Times New Roman"/>
                <w:color w:val="000000"/>
              </w:rPr>
            </w:pPr>
            <w:r>
              <w:rPr>
                <w:rFonts w:ascii="Calibri" w:eastAsia="Times New Roman" w:hAnsi="Calibri" w:cs="Times New Roman"/>
                <w:color w:val="000000"/>
              </w:rPr>
              <w:t>Indicator C-Schools report increas</w:t>
            </w:r>
            <w:r w:rsidRPr="00AA258E">
              <w:rPr>
                <w:rFonts w:ascii="Calibri" w:eastAsia="Times New Roman" w:hAnsi="Calibri" w:cs="Times New Roman"/>
                <w:color w:val="000000"/>
              </w:rPr>
              <w:t>ed early registration and improved kindergarte</w:t>
            </w:r>
            <w:r>
              <w:rPr>
                <w:rFonts w:ascii="Calibri" w:eastAsia="Times New Roman" w:hAnsi="Calibri" w:cs="Times New Roman"/>
                <w:color w:val="000000"/>
              </w:rPr>
              <w:t xml:space="preserve">n attendance   </w:t>
            </w:r>
          </w:p>
          <w:p w:rsidR="005944E7" w:rsidRDefault="005944E7" w:rsidP="00C14E69">
            <w:pPr>
              <w:spacing w:after="200" w:line="276" w:lineRule="auto"/>
              <w:rPr>
                <w:rFonts w:ascii="Calibri" w:eastAsia="Times New Roman" w:hAnsi="Calibri" w:cs="Times New Roman"/>
                <w:color w:val="000000"/>
              </w:rPr>
            </w:pPr>
            <w:r>
              <w:rPr>
                <w:rFonts w:ascii="Calibri" w:eastAsia="Times New Roman" w:hAnsi="Calibri" w:cs="Times New Roman"/>
                <w:color w:val="000000"/>
              </w:rPr>
              <w:t>2.3-Work</w:t>
            </w:r>
            <w:r w:rsidRPr="001D5628">
              <w:rPr>
                <w:rFonts w:ascii="Calibri" w:eastAsia="Times New Roman" w:hAnsi="Calibri" w:cs="Times New Roman"/>
                <w:color w:val="000000"/>
              </w:rPr>
              <w:t xml:space="preserve"> with partners to </w:t>
            </w:r>
            <w:r w:rsidRPr="001D5628">
              <w:rPr>
                <w:rFonts w:ascii="Calibri" w:eastAsia="Times New Roman" w:hAnsi="Calibri" w:cs="Times New Roman"/>
                <w:bCs/>
                <w:color w:val="000000"/>
              </w:rPr>
              <w:t xml:space="preserve">coordinate identification </w:t>
            </w:r>
            <w:r w:rsidRPr="001D5628">
              <w:rPr>
                <w:rFonts w:ascii="Calibri" w:eastAsia="Times New Roman" w:hAnsi="Calibri" w:cs="Times New Roman"/>
                <w:color w:val="000000"/>
              </w:rPr>
              <w:t xml:space="preserve">of </w:t>
            </w:r>
            <w:r w:rsidRPr="001D5628">
              <w:rPr>
                <w:rFonts w:ascii="Calibri" w:eastAsia="Times New Roman" w:hAnsi="Calibri" w:cs="Times New Roman"/>
              </w:rPr>
              <w:t>children &amp; families from focus and priority populations</w:t>
            </w:r>
            <w:r w:rsidRPr="001D5628">
              <w:rPr>
                <w:rFonts w:ascii="Calibri" w:eastAsia="Times New Roman" w:hAnsi="Calibri" w:cs="Times New Roman"/>
                <w:color w:val="000000"/>
              </w:rPr>
              <w:t xml:space="preserve">, to </w:t>
            </w:r>
            <w:r w:rsidRPr="001D5628">
              <w:rPr>
                <w:rFonts w:ascii="Calibri" w:eastAsia="Times New Roman" w:hAnsi="Calibri" w:cs="Times New Roman"/>
                <w:bCs/>
                <w:color w:val="000000"/>
              </w:rPr>
              <w:t xml:space="preserve">recruit </w:t>
            </w:r>
            <w:r w:rsidRPr="001D5628">
              <w:rPr>
                <w:rFonts w:ascii="Calibri" w:eastAsia="Times New Roman" w:hAnsi="Calibri" w:cs="Times New Roman"/>
                <w:color w:val="000000"/>
              </w:rPr>
              <w:t>them for early learning activities,</w:t>
            </w:r>
            <w:r w:rsidRPr="001D5628">
              <w:rPr>
                <w:rFonts w:ascii="Calibri" w:eastAsia="Times New Roman" w:hAnsi="Calibri" w:cs="Times New Roman"/>
                <w:bCs/>
                <w:color w:val="000000"/>
              </w:rPr>
              <w:t xml:space="preserve"> enroll </w:t>
            </w:r>
            <w:r w:rsidRPr="001D5628">
              <w:rPr>
                <w:rFonts w:ascii="Calibri" w:eastAsia="Times New Roman" w:hAnsi="Calibri" w:cs="Times New Roman"/>
                <w:color w:val="000000"/>
              </w:rPr>
              <w:t xml:space="preserve">them in services, and make </w:t>
            </w:r>
            <w:r w:rsidRPr="001D5628">
              <w:rPr>
                <w:rFonts w:ascii="Calibri" w:eastAsia="Times New Roman" w:hAnsi="Calibri" w:cs="Times New Roman"/>
                <w:bCs/>
                <w:color w:val="000000"/>
              </w:rPr>
              <w:t>timely referrals</w:t>
            </w:r>
            <w:r w:rsidRPr="001D5628">
              <w:rPr>
                <w:rFonts w:ascii="Calibri" w:eastAsia="Times New Roman" w:hAnsi="Calibri" w:cs="Times New Roman"/>
                <w:color w:val="000000"/>
              </w:rPr>
              <w:t xml:space="preserve"> with smooth transitions.</w:t>
            </w:r>
          </w:p>
          <w:p w:rsidR="003D4CBD" w:rsidRPr="00656615" w:rsidRDefault="003D4CBD" w:rsidP="003D4CBD">
            <w:pPr>
              <w:rPr>
                <w:rFonts w:ascii="Calibri" w:eastAsia="Times New Roman" w:hAnsi="Calibri" w:cs="Times New Roman"/>
              </w:rPr>
            </w:pPr>
            <w:r>
              <w:rPr>
                <w:rFonts w:ascii="Calibri" w:eastAsia="Times New Roman" w:hAnsi="Calibri" w:cs="Times New Roman"/>
                <w:color w:val="000000"/>
              </w:rPr>
              <w:t>Indicator A-</w:t>
            </w:r>
            <w:r w:rsidRPr="00656615">
              <w:rPr>
                <w:rFonts w:ascii="Calibri" w:eastAsia="Times New Roman" w:hAnsi="Calibri" w:cs="Times New Roman"/>
              </w:rPr>
              <w:t xml:space="preserve"> Increased number of children from priority and focus populations who are:</w:t>
            </w:r>
          </w:p>
          <w:p w:rsidR="003D4CBD" w:rsidRDefault="003D4CBD" w:rsidP="003D4CBD">
            <w:pPr>
              <w:rPr>
                <w:rFonts w:ascii="Calibri" w:eastAsia="Times New Roman" w:hAnsi="Calibri" w:cs="Times New Roman"/>
                <w:color w:val="000000"/>
              </w:rPr>
            </w:pPr>
            <w:r>
              <w:rPr>
                <w:rFonts w:ascii="Calibri" w:eastAsia="Times New Roman" w:hAnsi="Calibri" w:cs="Times New Roman"/>
                <w:color w:val="000000"/>
              </w:rPr>
              <w:t>1. P</w:t>
            </w:r>
            <w:r w:rsidRPr="00AA258E">
              <w:rPr>
                <w:rFonts w:ascii="Calibri" w:eastAsia="Times New Roman" w:hAnsi="Calibri" w:cs="Times New Roman"/>
                <w:color w:val="000000"/>
              </w:rPr>
              <w:t xml:space="preserve">art of a timely and effective </w:t>
            </w:r>
            <w:r>
              <w:rPr>
                <w:rFonts w:ascii="Calibri" w:eastAsia="Times New Roman" w:hAnsi="Calibri" w:cs="Times New Roman"/>
                <w:color w:val="000000"/>
              </w:rPr>
              <w:t>referral</w:t>
            </w:r>
            <w:r w:rsidRPr="00AA258E">
              <w:rPr>
                <w:rFonts w:ascii="Calibri" w:eastAsia="Times New Roman" w:hAnsi="Calibri" w:cs="Times New Roman"/>
                <w:color w:val="000000"/>
              </w:rPr>
              <w:t xml:space="preserve"> system</w:t>
            </w:r>
            <w:r>
              <w:rPr>
                <w:rFonts w:ascii="Calibri" w:eastAsia="Times New Roman" w:hAnsi="Calibri" w:cs="Times New Roman"/>
                <w:color w:val="000000"/>
              </w:rPr>
              <w:t>,</w:t>
            </w:r>
            <w:r w:rsidRPr="00AA258E">
              <w:rPr>
                <w:rFonts w:ascii="Calibri" w:eastAsia="Times New Roman" w:hAnsi="Calibri" w:cs="Times New Roman"/>
                <w:color w:val="000000"/>
              </w:rPr>
              <w:t xml:space="preserve"> from screening to services.   </w:t>
            </w:r>
            <w:r>
              <w:rPr>
                <w:rFonts w:ascii="Calibri" w:eastAsia="Times New Roman" w:hAnsi="Calibri" w:cs="Times New Roman"/>
                <w:color w:val="000000"/>
              </w:rPr>
              <w:t xml:space="preserve">                                     </w:t>
            </w:r>
          </w:p>
          <w:p w:rsidR="003D4CBD" w:rsidRDefault="003D4CBD" w:rsidP="003D4CBD">
            <w:pPr>
              <w:rPr>
                <w:rFonts w:ascii="Calibri" w:eastAsia="Times New Roman" w:hAnsi="Calibri" w:cs="Times New Roman"/>
                <w:color w:val="000000"/>
              </w:rPr>
            </w:pPr>
            <w:r>
              <w:rPr>
                <w:rFonts w:ascii="Calibri" w:eastAsia="Times New Roman" w:hAnsi="Calibri" w:cs="Times New Roman"/>
                <w:color w:val="000000"/>
              </w:rPr>
              <w:t xml:space="preserve">2. </w:t>
            </w:r>
            <w:r w:rsidRPr="00AA258E">
              <w:rPr>
                <w:rFonts w:ascii="Calibri" w:eastAsia="Times New Roman" w:hAnsi="Calibri" w:cs="Times New Roman"/>
                <w:color w:val="000000"/>
              </w:rPr>
              <w:t xml:space="preserve">Engaged in culturally responsive services       </w:t>
            </w:r>
            <w:r>
              <w:rPr>
                <w:rFonts w:ascii="Calibri" w:eastAsia="Times New Roman" w:hAnsi="Calibri" w:cs="Times New Roman"/>
                <w:color w:val="000000"/>
              </w:rPr>
              <w:t xml:space="preserve">                             </w:t>
            </w:r>
          </w:p>
          <w:p w:rsidR="003D4CBD" w:rsidRDefault="003D4CBD" w:rsidP="003D4CBD">
            <w:pPr>
              <w:rPr>
                <w:rFonts w:ascii="Calibri" w:eastAsia="Times New Roman" w:hAnsi="Calibri" w:cs="Times New Roman"/>
                <w:color w:val="000000"/>
              </w:rPr>
            </w:pPr>
          </w:p>
          <w:p w:rsidR="003D4CBD" w:rsidRDefault="003D4CBD" w:rsidP="003D4CBD">
            <w:pPr>
              <w:rPr>
                <w:rFonts w:ascii="Calibri" w:eastAsia="Times New Roman" w:hAnsi="Calibri" w:cs="Times New Roman"/>
                <w:color w:val="000000"/>
              </w:rPr>
            </w:pPr>
            <w:r>
              <w:rPr>
                <w:rFonts w:ascii="Calibri" w:eastAsia="Times New Roman" w:hAnsi="Calibri" w:cs="Times New Roman"/>
              </w:rPr>
              <w:t>Indicator B-</w:t>
            </w:r>
            <w:r w:rsidRPr="00FB5BBF">
              <w:rPr>
                <w:rFonts w:ascii="Calibri" w:eastAsia="Times New Roman" w:hAnsi="Calibri" w:cs="Times New Roman"/>
              </w:rPr>
              <w:t xml:space="preserve">Prioritization of children from priority populations </w:t>
            </w:r>
            <w:r>
              <w:rPr>
                <w:rFonts w:ascii="Calibri" w:eastAsia="Times New Roman" w:hAnsi="Calibri" w:cs="Times New Roman"/>
                <w:color w:val="000000"/>
              </w:rPr>
              <w:t>utilizing</w:t>
            </w:r>
            <w:r w:rsidRPr="00AA258E">
              <w:rPr>
                <w:rFonts w:ascii="Calibri" w:eastAsia="Times New Roman" w:hAnsi="Calibri" w:cs="Times New Roman"/>
                <w:color w:val="000000"/>
              </w:rPr>
              <w:t xml:space="preserve"> ELD programs (HS/OPK, home visiting, etc.)</w:t>
            </w:r>
          </w:p>
          <w:p w:rsidR="003D4CBD" w:rsidRDefault="003D4CBD" w:rsidP="003D4CBD">
            <w:pPr>
              <w:rPr>
                <w:rFonts w:ascii="Calibri" w:eastAsia="Times New Roman" w:hAnsi="Calibri" w:cs="Times New Roman"/>
                <w:color w:val="000000"/>
              </w:rPr>
            </w:pPr>
          </w:p>
          <w:p w:rsidR="003D4CBD" w:rsidRDefault="003D4CBD" w:rsidP="003D4CBD">
            <w:pPr>
              <w:spacing w:after="200" w:line="276" w:lineRule="auto"/>
              <w:rPr>
                <w:rFonts w:ascii="Calibri" w:eastAsia="Times New Roman" w:hAnsi="Calibri" w:cs="Times New Roman"/>
                <w:color w:val="000000"/>
              </w:rPr>
            </w:pPr>
            <w:r>
              <w:rPr>
                <w:rFonts w:ascii="Calibri" w:eastAsia="Times New Roman" w:hAnsi="Calibri" w:cs="Times New Roman"/>
              </w:rPr>
              <w:t xml:space="preserve">Indicator C- </w:t>
            </w:r>
            <w:r w:rsidRPr="00C6787C">
              <w:rPr>
                <w:rFonts w:ascii="Calibri" w:eastAsia="Times New Roman" w:hAnsi="Calibri" w:cs="Times New Roman"/>
              </w:rPr>
              <w:t xml:space="preserve">Increase in front line health provider referrals to early learning and early childhood resources  </w:t>
            </w:r>
          </w:p>
          <w:p w:rsidR="003D4CBD" w:rsidRDefault="005944E7" w:rsidP="003D4CBD">
            <w:pPr>
              <w:rPr>
                <w:rFonts w:ascii="Calibri" w:eastAsia="Times New Roman" w:hAnsi="Calibri" w:cs="Times New Roman"/>
                <w:color w:val="000000"/>
              </w:rPr>
            </w:pPr>
            <w:r>
              <w:rPr>
                <w:rFonts w:ascii="Calibri" w:eastAsia="Times New Roman" w:hAnsi="Calibri" w:cs="Times New Roman"/>
                <w:color w:val="000000"/>
              </w:rPr>
              <w:t>2.4-W</w:t>
            </w:r>
            <w:r w:rsidRPr="001D5628">
              <w:rPr>
                <w:rFonts w:ascii="Calibri" w:eastAsia="Times New Roman" w:hAnsi="Calibri" w:cs="Times New Roman"/>
                <w:color w:val="000000"/>
              </w:rPr>
              <w:t xml:space="preserve">ork with community partners to increase the percentage of children from focus and priority populations who </w:t>
            </w:r>
            <w:r w:rsidRPr="001D5628">
              <w:rPr>
                <w:rFonts w:ascii="Calibri" w:eastAsia="Times New Roman" w:hAnsi="Calibri" w:cs="Times New Roman"/>
              </w:rPr>
              <w:t xml:space="preserve">experience </w:t>
            </w:r>
            <w:r w:rsidRPr="001D5628">
              <w:rPr>
                <w:rFonts w:ascii="Calibri" w:eastAsia="Times New Roman" w:hAnsi="Calibri" w:cs="Times New Roman"/>
                <w:bCs/>
              </w:rPr>
              <w:t xml:space="preserve">early learning activities </w:t>
            </w:r>
            <w:r w:rsidRPr="001D5628">
              <w:rPr>
                <w:rFonts w:ascii="Calibri" w:eastAsia="Times New Roman" w:hAnsi="Calibri" w:cs="Times New Roman"/>
                <w:color w:val="000000"/>
              </w:rPr>
              <w:t>that prepare them for success in school.</w:t>
            </w:r>
          </w:p>
          <w:p w:rsidR="003D4CBD" w:rsidRDefault="003D4CBD" w:rsidP="003D4CBD">
            <w:pPr>
              <w:rPr>
                <w:rFonts w:ascii="Calibri" w:eastAsia="Times New Roman" w:hAnsi="Calibri" w:cs="Times New Roman"/>
                <w:color w:val="000000"/>
              </w:rPr>
            </w:pPr>
            <w:r>
              <w:rPr>
                <w:rFonts w:ascii="Calibri" w:eastAsia="Times New Roman" w:hAnsi="Calibri" w:cs="Times New Roman"/>
                <w:color w:val="000000"/>
              </w:rPr>
              <w:t>Indicator A-</w:t>
            </w:r>
            <w:r w:rsidRPr="00AA258E">
              <w:rPr>
                <w:rFonts w:ascii="Calibri" w:eastAsia="Times New Roman" w:hAnsi="Calibri" w:cs="Times New Roman"/>
                <w:color w:val="000000"/>
              </w:rPr>
              <w:t xml:space="preserve"> Increased number of provi</w:t>
            </w:r>
            <w:r>
              <w:rPr>
                <w:rFonts w:ascii="Calibri" w:eastAsia="Times New Roman" w:hAnsi="Calibri" w:cs="Times New Roman"/>
                <w:color w:val="000000"/>
              </w:rPr>
              <w:t>ders in underserved communities</w:t>
            </w:r>
          </w:p>
          <w:p w:rsidR="003D4CBD" w:rsidRDefault="003D4CBD" w:rsidP="003D4CBD">
            <w:pPr>
              <w:rPr>
                <w:rFonts w:ascii="Calibri" w:eastAsia="Times New Roman" w:hAnsi="Calibri" w:cs="Times New Roman"/>
                <w:color w:val="000000"/>
              </w:rPr>
            </w:pPr>
          </w:p>
          <w:p w:rsidR="003D4CBD" w:rsidRDefault="003D4CBD" w:rsidP="003D4CBD">
            <w:pPr>
              <w:rPr>
                <w:rFonts w:ascii="Calibri" w:eastAsia="Times New Roman" w:hAnsi="Calibri" w:cs="Times New Roman"/>
                <w:color w:val="000000"/>
              </w:rPr>
            </w:pPr>
            <w:r>
              <w:rPr>
                <w:rFonts w:ascii="Calibri" w:eastAsia="Times New Roman" w:hAnsi="Calibri" w:cs="Times New Roman"/>
                <w:color w:val="000000"/>
              </w:rPr>
              <w:t>Indicator B- Increase number of providers participating in SPARK</w:t>
            </w:r>
          </w:p>
          <w:p w:rsidR="003D4CBD" w:rsidRDefault="003D4CBD" w:rsidP="003D4CBD">
            <w:pPr>
              <w:rPr>
                <w:rFonts w:ascii="Calibri" w:eastAsia="Times New Roman" w:hAnsi="Calibri" w:cs="Times New Roman"/>
                <w:color w:val="C00000"/>
              </w:rPr>
            </w:pPr>
          </w:p>
          <w:p w:rsidR="003D4CBD" w:rsidRDefault="003D4CBD" w:rsidP="00666FF0">
            <w:pPr>
              <w:rPr>
                <w:rFonts w:ascii="Calibri" w:eastAsia="Times New Roman" w:hAnsi="Calibri" w:cs="Times New Roman"/>
              </w:rPr>
            </w:pPr>
            <w:r>
              <w:rPr>
                <w:rFonts w:ascii="Calibri" w:eastAsia="Times New Roman" w:hAnsi="Calibri" w:cs="Times New Roman"/>
              </w:rPr>
              <w:t xml:space="preserve">Indicator C- </w:t>
            </w:r>
            <w:r w:rsidRPr="00FB5BBF">
              <w:rPr>
                <w:rFonts w:ascii="Calibri" w:eastAsia="Times New Roman" w:hAnsi="Calibri" w:cs="Times New Roman"/>
              </w:rPr>
              <w:t xml:space="preserve">Increase in provision of early learning activities in non-traditional environments (caregivers, health providers, </w:t>
            </w:r>
            <w:proofErr w:type="spellStart"/>
            <w:r w:rsidRPr="00FB5BBF">
              <w:rPr>
                <w:rFonts w:ascii="Calibri" w:eastAsia="Times New Roman" w:hAnsi="Calibri" w:cs="Times New Roman"/>
              </w:rPr>
              <w:t>etc</w:t>
            </w:r>
            <w:proofErr w:type="spellEnd"/>
            <w:r w:rsidRPr="00FB5BBF">
              <w:rPr>
                <w:rFonts w:ascii="Calibri" w:eastAsia="Times New Roman" w:hAnsi="Calibri" w:cs="Times New Roman"/>
              </w:rPr>
              <w:t>)</w:t>
            </w:r>
          </w:p>
          <w:p w:rsidR="00666FF0" w:rsidRPr="00666FF0" w:rsidRDefault="00666FF0" w:rsidP="00666FF0">
            <w:pPr>
              <w:rPr>
                <w:rFonts w:ascii="Calibri" w:eastAsia="Times New Roman" w:hAnsi="Calibri" w:cs="Times New Roman"/>
              </w:rPr>
            </w:pPr>
          </w:p>
        </w:tc>
      </w:tr>
      <w:tr w:rsidR="00943920" w:rsidTr="00943920">
        <w:tc>
          <w:tcPr>
            <w:tcW w:w="1806" w:type="dxa"/>
          </w:tcPr>
          <w:p w:rsidR="00655BF7" w:rsidRPr="005C077B" w:rsidRDefault="00655BF7" w:rsidP="00655BF7">
            <w:pPr>
              <w:rPr>
                <w:rFonts w:ascii="Aharoni" w:hAnsi="Aharoni" w:cs="Aharoni"/>
                <w:sz w:val="24"/>
                <w:szCs w:val="24"/>
              </w:rPr>
            </w:pPr>
            <w:r w:rsidRPr="005C077B">
              <w:rPr>
                <w:rFonts w:ascii="Aharoni" w:hAnsi="Aharoni" w:cs="Aharoni"/>
                <w:sz w:val="24"/>
                <w:szCs w:val="24"/>
              </w:rPr>
              <w:lastRenderedPageBreak/>
              <w:t>Key activities</w:t>
            </w:r>
          </w:p>
        </w:tc>
        <w:tc>
          <w:tcPr>
            <w:tcW w:w="1786" w:type="dxa"/>
          </w:tcPr>
          <w:p w:rsidR="00655BF7" w:rsidRDefault="00655BF7" w:rsidP="00655BF7">
            <w:pPr>
              <w:rPr>
                <w:rFonts w:ascii="Aharoni" w:hAnsi="Aharoni" w:cs="Aharoni"/>
                <w:sz w:val="24"/>
                <w:szCs w:val="24"/>
              </w:rPr>
            </w:pPr>
            <w:r w:rsidRPr="005C077B">
              <w:rPr>
                <w:rFonts w:ascii="Aharoni" w:hAnsi="Aharoni" w:cs="Aharoni"/>
                <w:sz w:val="24"/>
                <w:szCs w:val="24"/>
              </w:rPr>
              <w:t>Indicator</w:t>
            </w:r>
            <w:r>
              <w:rPr>
                <w:rFonts w:ascii="Aharoni" w:hAnsi="Aharoni" w:cs="Aharoni"/>
                <w:sz w:val="24"/>
                <w:szCs w:val="24"/>
              </w:rPr>
              <w:t>(s)</w:t>
            </w:r>
          </w:p>
          <w:p w:rsidR="00655BF7" w:rsidRPr="005C077B" w:rsidRDefault="00655BF7" w:rsidP="00655BF7">
            <w:pPr>
              <w:rPr>
                <w:rFonts w:ascii="Aharoni" w:hAnsi="Aharoni" w:cs="Aharoni"/>
                <w:sz w:val="24"/>
                <w:szCs w:val="24"/>
              </w:rPr>
            </w:pPr>
          </w:p>
        </w:tc>
        <w:tc>
          <w:tcPr>
            <w:tcW w:w="1793" w:type="dxa"/>
          </w:tcPr>
          <w:p w:rsidR="00655BF7" w:rsidRPr="005C077B" w:rsidRDefault="00655BF7" w:rsidP="00655BF7">
            <w:pPr>
              <w:rPr>
                <w:rFonts w:ascii="Aharoni" w:hAnsi="Aharoni" w:cs="Aharoni"/>
                <w:sz w:val="24"/>
                <w:szCs w:val="24"/>
              </w:rPr>
            </w:pPr>
            <w:r w:rsidRPr="005C077B">
              <w:rPr>
                <w:rFonts w:ascii="Aharoni" w:hAnsi="Aharoni" w:cs="Aharoni"/>
                <w:sz w:val="24"/>
                <w:szCs w:val="24"/>
              </w:rPr>
              <w:t>Target Population</w:t>
            </w:r>
          </w:p>
        </w:tc>
        <w:tc>
          <w:tcPr>
            <w:tcW w:w="1783" w:type="dxa"/>
          </w:tcPr>
          <w:p w:rsidR="00655BF7" w:rsidRPr="005C077B" w:rsidRDefault="00655BF7" w:rsidP="00655BF7">
            <w:pPr>
              <w:rPr>
                <w:rFonts w:ascii="Aharoni" w:hAnsi="Aharoni" w:cs="Aharoni"/>
                <w:sz w:val="24"/>
                <w:szCs w:val="24"/>
              </w:rPr>
            </w:pPr>
            <w:r>
              <w:rPr>
                <w:rFonts w:ascii="Aharoni" w:hAnsi="Aharoni" w:cs="Aharoni"/>
                <w:sz w:val="24"/>
                <w:szCs w:val="24"/>
              </w:rPr>
              <w:t>P</w:t>
            </w:r>
            <w:r w:rsidRPr="005C077B">
              <w:rPr>
                <w:rFonts w:ascii="Aharoni" w:hAnsi="Aharoni" w:cs="Aharoni"/>
                <w:sz w:val="24"/>
                <w:szCs w:val="24"/>
              </w:rPr>
              <w:t>artners</w:t>
            </w:r>
          </w:p>
        </w:tc>
        <w:tc>
          <w:tcPr>
            <w:tcW w:w="1760" w:type="dxa"/>
          </w:tcPr>
          <w:p w:rsidR="00655BF7" w:rsidRPr="005C077B" w:rsidRDefault="00655BF7" w:rsidP="00655BF7">
            <w:pPr>
              <w:rPr>
                <w:rFonts w:ascii="Aharoni" w:hAnsi="Aharoni" w:cs="Aharoni"/>
                <w:sz w:val="24"/>
                <w:szCs w:val="24"/>
              </w:rPr>
            </w:pPr>
            <w:r w:rsidRPr="005C077B">
              <w:rPr>
                <w:rFonts w:ascii="Aharoni" w:hAnsi="Aharoni" w:cs="Aharoni"/>
                <w:sz w:val="24"/>
                <w:szCs w:val="24"/>
              </w:rPr>
              <w:t>Timeline</w:t>
            </w:r>
          </w:p>
        </w:tc>
        <w:tc>
          <w:tcPr>
            <w:tcW w:w="2397" w:type="dxa"/>
          </w:tcPr>
          <w:p w:rsidR="00655BF7" w:rsidRPr="005C077B" w:rsidRDefault="00655BF7" w:rsidP="00655BF7">
            <w:pPr>
              <w:rPr>
                <w:rFonts w:ascii="Aharoni" w:hAnsi="Aharoni" w:cs="Aharoni"/>
                <w:sz w:val="24"/>
                <w:szCs w:val="24"/>
              </w:rPr>
            </w:pPr>
            <w:r w:rsidRPr="005C077B">
              <w:rPr>
                <w:rFonts w:ascii="Aharoni" w:hAnsi="Aharoni" w:cs="Aharoni"/>
                <w:sz w:val="24"/>
                <w:szCs w:val="24"/>
              </w:rPr>
              <w:t>Measurement/Data Source</w:t>
            </w:r>
          </w:p>
        </w:tc>
        <w:tc>
          <w:tcPr>
            <w:tcW w:w="1851" w:type="dxa"/>
          </w:tcPr>
          <w:p w:rsidR="00655BF7" w:rsidRPr="005C077B" w:rsidRDefault="00655BF7" w:rsidP="00655BF7">
            <w:pPr>
              <w:rPr>
                <w:rFonts w:ascii="Aharoni" w:hAnsi="Aharoni" w:cs="Aharoni"/>
                <w:sz w:val="24"/>
                <w:szCs w:val="24"/>
              </w:rPr>
            </w:pPr>
            <w:r w:rsidRPr="005C077B">
              <w:rPr>
                <w:rFonts w:ascii="Aharoni" w:hAnsi="Aharoni" w:cs="Aharoni"/>
                <w:sz w:val="24"/>
                <w:szCs w:val="24"/>
              </w:rPr>
              <w:t xml:space="preserve">ELD Funding stream/Other funding </w:t>
            </w:r>
          </w:p>
        </w:tc>
      </w:tr>
      <w:tr w:rsidR="00943920" w:rsidTr="00943920">
        <w:tc>
          <w:tcPr>
            <w:tcW w:w="1806" w:type="dxa"/>
          </w:tcPr>
          <w:p w:rsidR="009B23D8" w:rsidRDefault="009B23D8" w:rsidP="002E372B">
            <w:r>
              <w:t>Annual EL Hub Conference</w:t>
            </w:r>
          </w:p>
        </w:tc>
        <w:tc>
          <w:tcPr>
            <w:tcW w:w="1786" w:type="dxa"/>
          </w:tcPr>
          <w:p w:rsidR="009B23D8" w:rsidRDefault="009B23D8" w:rsidP="002E372B">
            <w:r>
              <w:t xml:space="preserve">Primary – 2.1 </w:t>
            </w:r>
            <w:r w:rsidR="009217A5">
              <w:t>A</w:t>
            </w:r>
          </w:p>
        </w:tc>
        <w:tc>
          <w:tcPr>
            <w:tcW w:w="1793" w:type="dxa"/>
          </w:tcPr>
          <w:p w:rsidR="009B23D8" w:rsidRDefault="009217A5" w:rsidP="002E372B">
            <w:r>
              <w:t>Cross Sectors partners from throughout the region and state</w:t>
            </w:r>
          </w:p>
        </w:tc>
        <w:tc>
          <w:tcPr>
            <w:tcW w:w="1783" w:type="dxa"/>
          </w:tcPr>
          <w:p w:rsidR="009B23D8" w:rsidRDefault="009217A5" w:rsidP="002E372B">
            <w:r>
              <w:t>Data &amp; Evaluation Work Group</w:t>
            </w:r>
          </w:p>
        </w:tc>
        <w:tc>
          <w:tcPr>
            <w:tcW w:w="1760" w:type="dxa"/>
          </w:tcPr>
          <w:p w:rsidR="009B23D8" w:rsidRDefault="009217A5" w:rsidP="002E372B">
            <w:r>
              <w:t>Annually in October</w:t>
            </w:r>
          </w:p>
        </w:tc>
        <w:tc>
          <w:tcPr>
            <w:tcW w:w="2397" w:type="dxa"/>
          </w:tcPr>
          <w:p w:rsidR="009B23D8" w:rsidRDefault="009217A5" w:rsidP="002E372B">
            <w:r>
              <w:t>Year 1 – Survey Monkey Evaluation</w:t>
            </w:r>
          </w:p>
          <w:p w:rsidR="009217A5" w:rsidRDefault="009217A5" w:rsidP="002E372B">
            <w:r>
              <w:t>Year 2 - TBD</w:t>
            </w:r>
          </w:p>
        </w:tc>
        <w:tc>
          <w:tcPr>
            <w:tcW w:w="1851" w:type="dxa"/>
          </w:tcPr>
          <w:p w:rsidR="009B23D8" w:rsidRDefault="009217A5" w:rsidP="002E372B">
            <w:r>
              <w:t>Coordination Funds</w:t>
            </w:r>
          </w:p>
        </w:tc>
      </w:tr>
      <w:tr w:rsidR="00943920" w:rsidTr="00943920">
        <w:tc>
          <w:tcPr>
            <w:tcW w:w="1806" w:type="dxa"/>
          </w:tcPr>
          <w:p w:rsidR="002E372B" w:rsidRDefault="002E372B" w:rsidP="002E372B">
            <w:r>
              <w:lastRenderedPageBreak/>
              <w:t>HART Preschool – Scholarships for families with low SES.</w:t>
            </w:r>
          </w:p>
        </w:tc>
        <w:tc>
          <w:tcPr>
            <w:tcW w:w="1786" w:type="dxa"/>
          </w:tcPr>
          <w:p w:rsidR="002E372B" w:rsidRDefault="002E372B" w:rsidP="002E372B">
            <w:r>
              <w:t>Primary – 2.4 A</w:t>
            </w:r>
          </w:p>
          <w:p w:rsidR="002E372B" w:rsidRDefault="002E372B" w:rsidP="002E372B">
            <w:r>
              <w:t>Additional – 2.1 A (HART Preschool staff participate in KPI shared PD)</w:t>
            </w:r>
          </w:p>
          <w:p w:rsidR="002E372B" w:rsidRDefault="002E372B" w:rsidP="002E372B">
            <w:r>
              <w:t>2.2 B &amp; C</w:t>
            </w:r>
          </w:p>
        </w:tc>
        <w:tc>
          <w:tcPr>
            <w:tcW w:w="1793" w:type="dxa"/>
          </w:tcPr>
          <w:p w:rsidR="002E372B" w:rsidRDefault="002E372B" w:rsidP="002E372B">
            <w:r>
              <w:t>Children &amp; Families in Rural Communities</w:t>
            </w:r>
          </w:p>
        </w:tc>
        <w:tc>
          <w:tcPr>
            <w:tcW w:w="1783" w:type="dxa"/>
          </w:tcPr>
          <w:p w:rsidR="002E372B" w:rsidRDefault="002E372B" w:rsidP="002E372B">
            <w:r>
              <w:t>HART Community Center, Inc.</w:t>
            </w:r>
          </w:p>
        </w:tc>
        <w:tc>
          <w:tcPr>
            <w:tcW w:w="1760" w:type="dxa"/>
          </w:tcPr>
          <w:p w:rsidR="002E372B" w:rsidRDefault="002E372B" w:rsidP="002E372B">
            <w:r>
              <w:t>2017-2018 School year &amp; 2018-2019 School Year</w:t>
            </w:r>
          </w:p>
        </w:tc>
        <w:tc>
          <w:tcPr>
            <w:tcW w:w="2397" w:type="dxa"/>
          </w:tcPr>
          <w:p w:rsidR="002E372B" w:rsidRDefault="002E372B" w:rsidP="002E372B">
            <w:r>
              <w:t>Family Event Survey conducted at the end of each school year.</w:t>
            </w:r>
          </w:p>
          <w:p w:rsidR="002E372B" w:rsidRDefault="002E372B" w:rsidP="002E372B">
            <w:r>
              <w:t>Ongoing analysis of KA data for district. Quarterly completion of Hub Data Collection Form</w:t>
            </w:r>
          </w:p>
        </w:tc>
        <w:tc>
          <w:tcPr>
            <w:tcW w:w="1851" w:type="dxa"/>
          </w:tcPr>
          <w:p w:rsidR="002E372B" w:rsidRDefault="002E372B" w:rsidP="002E372B">
            <w:r>
              <w:t>School Readiness Funds</w:t>
            </w:r>
          </w:p>
        </w:tc>
      </w:tr>
      <w:tr w:rsidR="00943920" w:rsidTr="00943920">
        <w:tc>
          <w:tcPr>
            <w:tcW w:w="1806" w:type="dxa"/>
          </w:tcPr>
          <w:p w:rsidR="002E372B" w:rsidRDefault="00D3414D" w:rsidP="002E372B">
            <w:r>
              <w:t>Learning Is Fun Together program</w:t>
            </w:r>
          </w:p>
        </w:tc>
        <w:tc>
          <w:tcPr>
            <w:tcW w:w="1786" w:type="dxa"/>
          </w:tcPr>
          <w:p w:rsidR="002E372B" w:rsidRDefault="00D3414D" w:rsidP="002E372B">
            <w:r>
              <w:t>Primary – 2.2 A,B&amp;C</w:t>
            </w:r>
          </w:p>
          <w:p w:rsidR="00D3414D" w:rsidRDefault="00D3414D" w:rsidP="002E372B">
            <w:r>
              <w:t>Additional – 2.3 A &amp; 2.4 A&amp;B</w:t>
            </w:r>
          </w:p>
        </w:tc>
        <w:tc>
          <w:tcPr>
            <w:tcW w:w="1793" w:type="dxa"/>
          </w:tcPr>
          <w:p w:rsidR="002E372B" w:rsidRDefault="00D3414D" w:rsidP="002E372B">
            <w:r>
              <w:t>Children on the Head Start waiting list in Lincoln County</w:t>
            </w:r>
          </w:p>
        </w:tc>
        <w:tc>
          <w:tcPr>
            <w:tcW w:w="1783" w:type="dxa"/>
          </w:tcPr>
          <w:p w:rsidR="002E372B" w:rsidRDefault="00D3414D" w:rsidP="002E372B">
            <w:r>
              <w:t>Lincoln County School District</w:t>
            </w:r>
          </w:p>
        </w:tc>
        <w:tc>
          <w:tcPr>
            <w:tcW w:w="1760" w:type="dxa"/>
          </w:tcPr>
          <w:p w:rsidR="002E372B" w:rsidRDefault="00D3414D" w:rsidP="002E372B">
            <w:r w:rsidRPr="00D3414D">
              <w:t>2017-2018 School year &amp; 2018-2019 School Year</w:t>
            </w:r>
          </w:p>
        </w:tc>
        <w:tc>
          <w:tcPr>
            <w:tcW w:w="2397" w:type="dxa"/>
          </w:tcPr>
          <w:p w:rsidR="00D3414D" w:rsidRDefault="00D3414D" w:rsidP="00D3414D">
            <w:r>
              <w:t>Family Event Survey conducted at the end of each school year.</w:t>
            </w:r>
          </w:p>
          <w:p w:rsidR="002E372B" w:rsidRDefault="00D3414D" w:rsidP="00D3414D">
            <w:r>
              <w:t>Ongoing analysis of KA data for district. Quarterly completion of Hub Data Collection Form</w:t>
            </w:r>
          </w:p>
        </w:tc>
        <w:tc>
          <w:tcPr>
            <w:tcW w:w="1851" w:type="dxa"/>
          </w:tcPr>
          <w:p w:rsidR="002E372B" w:rsidRDefault="00D3414D" w:rsidP="002E372B">
            <w:r>
              <w:t>School Readiness Funds (this program also receives KPI funds for Summer sessions and specific locations)</w:t>
            </w:r>
          </w:p>
        </w:tc>
      </w:tr>
      <w:tr w:rsidR="00943920" w:rsidTr="00943920">
        <w:tc>
          <w:tcPr>
            <w:tcW w:w="1806" w:type="dxa"/>
          </w:tcPr>
          <w:p w:rsidR="002E372B" w:rsidRPr="00D3414D" w:rsidRDefault="00D3414D" w:rsidP="002E372B">
            <w:pPr>
              <w:rPr>
                <w:rFonts w:cstheme="minorHAnsi"/>
              </w:rPr>
            </w:pPr>
            <w:r w:rsidRPr="00D3414D">
              <w:rPr>
                <w:rFonts w:cstheme="minorHAnsi"/>
              </w:rPr>
              <w:t>Foster Gra</w:t>
            </w:r>
            <w:r>
              <w:rPr>
                <w:rFonts w:cstheme="minorHAnsi"/>
              </w:rPr>
              <w:t>ndparent Program</w:t>
            </w:r>
          </w:p>
        </w:tc>
        <w:tc>
          <w:tcPr>
            <w:tcW w:w="1786" w:type="dxa"/>
          </w:tcPr>
          <w:p w:rsidR="002E372B" w:rsidRDefault="00D3414D" w:rsidP="002E372B">
            <w:r>
              <w:t>Primary – 2.4 C</w:t>
            </w:r>
          </w:p>
        </w:tc>
        <w:tc>
          <w:tcPr>
            <w:tcW w:w="1793" w:type="dxa"/>
          </w:tcPr>
          <w:p w:rsidR="002E372B" w:rsidRDefault="00D3414D" w:rsidP="002E372B">
            <w:r>
              <w:t>Preschool English Language Learners in Rural Communities</w:t>
            </w:r>
          </w:p>
        </w:tc>
        <w:tc>
          <w:tcPr>
            <w:tcW w:w="1783" w:type="dxa"/>
          </w:tcPr>
          <w:p w:rsidR="002E372B" w:rsidRDefault="00D3414D" w:rsidP="002E372B">
            <w:r>
              <w:t>Oregon Cascades West Council of Governments</w:t>
            </w:r>
          </w:p>
        </w:tc>
        <w:tc>
          <w:tcPr>
            <w:tcW w:w="1760" w:type="dxa"/>
          </w:tcPr>
          <w:p w:rsidR="002E372B" w:rsidRDefault="00D3414D" w:rsidP="002E372B">
            <w:r w:rsidRPr="00D3414D">
              <w:t>2017-2018 School year</w:t>
            </w:r>
            <w:r>
              <w:t>, 2018 Summer Session</w:t>
            </w:r>
            <w:r w:rsidRPr="00D3414D">
              <w:t xml:space="preserve"> &amp; 2018-2019 School Year</w:t>
            </w:r>
          </w:p>
        </w:tc>
        <w:tc>
          <w:tcPr>
            <w:tcW w:w="2397" w:type="dxa"/>
          </w:tcPr>
          <w:p w:rsidR="002E372B" w:rsidRDefault="00D3414D" w:rsidP="002E372B">
            <w:r w:rsidRPr="00D3414D">
              <w:t>Quarterly completion of Hub Data Collection Form</w:t>
            </w:r>
          </w:p>
          <w:p w:rsidR="00D3414D" w:rsidRDefault="00D3414D" w:rsidP="002E372B">
            <w:r>
              <w:t>We are exploring additional ways to measure the effectiveness of this program</w:t>
            </w:r>
          </w:p>
        </w:tc>
        <w:tc>
          <w:tcPr>
            <w:tcW w:w="1851" w:type="dxa"/>
          </w:tcPr>
          <w:p w:rsidR="002E372B" w:rsidRDefault="009B23D8" w:rsidP="002E372B">
            <w:r>
              <w:t>School Readiness Funds</w:t>
            </w:r>
          </w:p>
        </w:tc>
      </w:tr>
      <w:tr w:rsidR="00943920" w:rsidTr="00943920">
        <w:tc>
          <w:tcPr>
            <w:tcW w:w="1806" w:type="dxa"/>
          </w:tcPr>
          <w:p w:rsidR="002E372B" w:rsidRDefault="009B23D8" w:rsidP="002E372B">
            <w:r>
              <w:t>Targeted Cohort for Lincoln County Providers (FCCN-Like)</w:t>
            </w:r>
          </w:p>
        </w:tc>
        <w:tc>
          <w:tcPr>
            <w:tcW w:w="1786" w:type="dxa"/>
          </w:tcPr>
          <w:p w:rsidR="002E372B" w:rsidRDefault="009B23D8" w:rsidP="002E372B">
            <w:r>
              <w:t>Primary – 2.4 A&amp;B</w:t>
            </w:r>
          </w:p>
        </w:tc>
        <w:tc>
          <w:tcPr>
            <w:tcW w:w="1793" w:type="dxa"/>
          </w:tcPr>
          <w:p w:rsidR="002E372B" w:rsidRDefault="009B23D8" w:rsidP="002E372B">
            <w:r>
              <w:t>Lincoln County Providers</w:t>
            </w:r>
          </w:p>
        </w:tc>
        <w:tc>
          <w:tcPr>
            <w:tcW w:w="1783" w:type="dxa"/>
          </w:tcPr>
          <w:p w:rsidR="002E372B" w:rsidRDefault="009B23D8" w:rsidP="002E372B">
            <w:r>
              <w:t>CCR&amp;R</w:t>
            </w:r>
          </w:p>
        </w:tc>
        <w:tc>
          <w:tcPr>
            <w:tcW w:w="1760" w:type="dxa"/>
          </w:tcPr>
          <w:p w:rsidR="002E372B" w:rsidRDefault="002E372B" w:rsidP="002E372B"/>
        </w:tc>
        <w:tc>
          <w:tcPr>
            <w:tcW w:w="2397" w:type="dxa"/>
          </w:tcPr>
          <w:p w:rsidR="002E372B" w:rsidRDefault="009B23D8" w:rsidP="002E372B">
            <w:r>
              <w:t>SPARK data and Narrative Report from CCR&amp;R</w:t>
            </w:r>
          </w:p>
          <w:p w:rsidR="009B23D8" w:rsidRDefault="009B23D8" w:rsidP="002E372B">
            <w:r>
              <w:t>FCCN reporting tool</w:t>
            </w:r>
          </w:p>
        </w:tc>
        <w:tc>
          <w:tcPr>
            <w:tcW w:w="1851" w:type="dxa"/>
          </w:tcPr>
          <w:p w:rsidR="002E372B" w:rsidRDefault="009B23D8" w:rsidP="002E372B">
            <w:r>
              <w:t>School Readiness Funds</w:t>
            </w:r>
          </w:p>
        </w:tc>
      </w:tr>
      <w:tr w:rsidR="00943920" w:rsidTr="00943920">
        <w:tc>
          <w:tcPr>
            <w:tcW w:w="1806" w:type="dxa"/>
          </w:tcPr>
          <w:p w:rsidR="002E372B" w:rsidRDefault="009B23D8" w:rsidP="002E372B">
            <w:r>
              <w:t xml:space="preserve">211 Community Engagement </w:t>
            </w:r>
            <w:r>
              <w:lastRenderedPageBreak/>
              <w:t>Coordinator</w:t>
            </w:r>
          </w:p>
        </w:tc>
        <w:tc>
          <w:tcPr>
            <w:tcW w:w="1786" w:type="dxa"/>
          </w:tcPr>
          <w:p w:rsidR="002E372B" w:rsidRDefault="009B23D8" w:rsidP="002E372B">
            <w:r>
              <w:lastRenderedPageBreak/>
              <w:t>Primary – 2.3 A</w:t>
            </w:r>
            <w:r w:rsidR="000868C3">
              <w:t xml:space="preserve"> &amp; 3.1 A</w:t>
            </w:r>
          </w:p>
        </w:tc>
        <w:tc>
          <w:tcPr>
            <w:tcW w:w="1793" w:type="dxa"/>
          </w:tcPr>
          <w:p w:rsidR="002E372B" w:rsidRDefault="000868C3" w:rsidP="002E372B">
            <w:r>
              <w:t>Universal</w:t>
            </w:r>
          </w:p>
        </w:tc>
        <w:tc>
          <w:tcPr>
            <w:tcW w:w="1783" w:type="dxa"/>
          </w:tcPr>
          <w:p w:rsidR="002E372B" w:rsidRDefault="009217A5" w:rsidP="002E372B">
            <w:r>
              <w:t>211</w:t>
            </w:r>
          </w:p>
        </w:tc>
        <w:tc>
          <w:tcPr>
            <w:tcW w:w="1760" w:type="dxa"/>
          </w:tcPr>
          <w:p w:rsidR="002E372B" w:rsidRDefault="009217A5" w:rsidP="002E372B">
            <w:r>
              <w:t>Ongoing</w:t>
            </w:r>
          </w:p>
        </w:tc>
        <w:tc>
          <w:tcPr>
            <w:tcW w:w="2397" w:type="dxa"/>
          </w:tcPr>
          <w:p w:rsidR="002E372B" w:rsidRDefault="000868C3" w:rsidP="002E372B">
            <w:r>
              <w:t xml:space="preserve">211 Quarterly Data Reports &amp; Narrative </w:t>
            </w:r>
            <w:r>
              <w:lastRenderedPageBreak/>
              <w:t>reports from CEC</w:t>
            </w:r>
          </w:p>
        </w:tc>
        <w:tc>
          <w:tcPr>
            <w:tcW w:w="1851" w:type="dxa"/>
          </w:tcPr>
          <w:p w:rsidR="002E372B" w:rsidRDefault="000868C3" w:rsidP="002E372B">
            <w:r>
              <w:lastRenderedPageBreak/>
              <w:t xml:space="preserve">Blend of School Readiness Funds </w:t>
            </w:r>
            <w:r>
              <w:lastRenderedPageBreak/>
              <w:t>and Title IV-B2</w:t>
            </w:r>
          </w:p>
        </w:tc>
      </w:tr>
      <w:tr w:rsidR="00943920" w:rsidTr="00943920">
        <w:tc>
          <w:tcPr>
            <w:tcW w:w="1806" w:type="dxa"/>
          </w:tcPr>
          <w:p w:rsidR="002E372B" w:rsidRDefault="009B23D8" w:rsidP="009B23D8">
            <w:r>
              <w:lastRenderedPageBreak/>
              <w:t xml:space="preserve">START Training </w:t>
            </w:r>
          </w:p>
        </w:tc>
        <w:tc>
          <w:tcPr>
            <w:tcW w:w="1786" w:type="dxa"/>
          </w:tcPr>
          <w:p w:rsidR="002E372B" w:rsidRDefault="009217A5" w:rsidP="002E372B">
            <w:r>
              <w:t>Primary – 2.3 C</w:t>
            </w:r>
          </w:p>
        </w:tc>
        <w:tc>
          <w:tcPr>
            <w:tcW w:w="1793" w:type="dxa"/>
          </w:tcPr>
          <w:p w:rsidR="002E372B" w:rsidRDefault="001D0AEB" w:rsidP="002E372B">
            <w:r>
              <w:t>Medical Providers working with OHP Clients</w:t>
            </w:r>
          </w:p>
        </w:tc>
        <w:tc>
          <w:tcPr>
            <w:tcW w:w="1783" w:type="dxa"/>
          </w:tcPr>
          <w:p w:rsidR="002E372B" w:rsidRDefault="009217A5" w:rsidP="002E372B">
            <w:r>
              <w:t>Samaritan Health Services</w:t>
            </w:r>
          </w:p>
        </w:tc>
        <w:tc>
          <w:tcPr>
            <w:tcW w:w="1760" w:type="dxa"/>
          </w:tcPr>
          <w:p w:rsidR="002E372B" w:rsidRDefault="009217A5" w:rsidP="002E372B">
            <w:r>
              <w:t>Through December 2017</w:t>
            </w:r>
          </w:p>
        </w:tc>
        <w:tc>
          <w:tcPr>
            <w:tcW w:w="2397" w:type="dxa"/>
          </w:tcPr>
          <w:p w:rsidR="002E372B" w:rsidRDefault="009217A5" w:rsidP="002E372B">
            <w:r w:rsidRPr="009217A5">
              <w:t>Track referral data from EI/ECSE</w:t>
            </w:r>
          </w:p>
          <w:p w:rsidR="009217A5" w:rsidRDefault="009217A5" w:rsidP="002E372B">
            <w:r>
              <w:t>CCO Quarterly Report</w:t>
            </w:r>
          </w:p>
        </w:tc>
        <w:tc>
          <w:tcPr>
            <w:tcW w:w="1851" w:type="dxa"/>
          </w:tcPr>
          <w:p w:rsidR="002E372B" w:rsidRDefault="009217A5" w:rsidP="002E372B">
            <w:r>
              <w:t>IHN-CCO Funding</w:t>
            </w:r>
          </w:p>
        </w:tc>
      </w:tr>
      <w:tr w:rsidR="00943920" w:rsidTr="00943920">
        <w:tc>
          <w:tcPr>
            <w:tcW w:w="1806" w:type="dxa"/>
          </w:tcPr>
          <w:p w:rsidR="002E372B" w:rsidRDefault="009B23D8" w:rsidP="002E372B">
            <w:r w:rsidRPr="009B23D8">
              <w:t>OPIP Decision Tree Revision</w:t>
            </w:r>
          </w:p>
        </w:tc>
        <w:tc>
          <w:tcPr>
            <w:tcW w:w="1786" w:type="dxa"/>
          </w:tcPr>
          <w:p w:rsidR="002E372B" w:rsidRDefault="009217A5" w:rsidP="002E372B">
            <w:r>
              <w:t>Primary – 2.3 C</w:t>
            </w:r>
          </w:p>
        </w:tc>
        <w:tc>
          <w:tcPr>
            <w:tcW w:w="1793" w:type="dxa"/>
          </w:tcPr>
          <w:p w:rsidR="002E372B" w:rsidRDefault="001D0AEB" w:rsidP="002E372B">
            <w:r w:rsidRPr="001D0AEB">
              <w:t>Medical Providers working with OHP Clients</w:t>
            </w:r>
          </w:p>
        </w:tc>
        <w:tc>
          <w:tcPr>
            <w:tcW w:w="1783" w:type="dxa"/>
          </w:tcPr>
          <w:p w:rsidR="002E372B" w:rsidRDefault="009217A5" w:rsidP="002E372B">
            <w:r>
              <w:t>Health Care Integration Work Group</w:t>
            </w:r>
          </w:p>
        </w:tc>
        <w:tc>
          <w:tcPr>
            <w:tcW w:w="1760" w:type="dxa"/>
          </w:tcPr>
          <w:p w:rsidR="002E372B" w:rsidRDefault="009217A5" w:rsidP="002E372B">
            <w:r>
              <w:t>Ongoing</w:t>
            </w:r>
          </w:p>
        </w:tc>
        <w:tc>
          <w:tcPr>
            <w:tcW w:w="2397" w:type="dxa"/>
          </w:tcPr>
          <w:p w:rsidR="002E372B" w:rsidRDefault="009217A5" w:rsidP="002E372B">
            <w:r>
              <w:t>Track referral data from EI/ECSE</w:t>
            </w:r>
          </w:p>
        </w:tc>
        <w:tc>
          <w:tcPr>
            <w:tcW w:w="1851" w:type="dxa"/>
          </w:tcPr>
          <w:p w:rsidR="002E372B" w:rsidRDefault="009217A5" w:rsidP="002E372B">
            <w:r>
              <w:t>No cost associated</w:t>
            </w:r>
          </w:p>
        </w:tc>
      </w:tr>
      <w:tr w:rsidR="00943920" w:rsidTr="00943920">
        <w:tc>
          <w:tcPr>
            <w:tcW w:w="1806" w:type="dxa"/>
          </w:tcPr>
          <w:p w:rsidR="00943920" w:rsidRPr="009B23D8" w:rsidRDefault="00943920" w:rsidP="002E372B">
            <w:r>
              <w:t>Rural Outreach Coordinator</w:t>
            </w:r>
          </w:p>
        </w:tc>
        <w:tc>
          <w:tcPr>
            <w:tcW w:w="1786" w:type="dxa"/>
          </w:tcPr>
          <w:p w:rsidR="00943920" w:rsidRDefault="00943920" w:rsidP="002E372B">
            <w:r>
              <w:t>Primary 2.3 A</w:t>
            </w:r>
          </w:p>
        </w:tc>
        <w:tc>
          <w:tcPr>
            <w:tcW w:w="1793" w:type="dxa"/>
          </w:tcPr>
          <w:p w:rsidR="00943920" w:rsidRPr="001D0AEB" w:rsidRDefault="00943920" w:rsidP="002E372B">
            <w:r w:rsidRPr="00943920">
              <w:t>Children &amp; Families in Rural Communities</w:t>
            </w:r>
          </w:p>
        </w:tc>
        <w:tc>
          <w:tcPr>
            <w:tcW w:w="1783" w:type="dxa"/>
          </w:tcPr>
          <w:p w:rsidR="00943920" w:rsidRDefault="00943920" w:rsidP="002E372B">
            <w:r>
              <w:t xml:space="preserve">Strengthening Rural Families </w:t>
            </w:r>
          </w:p>
        </w:tc>
        <w:tc>
          <w:tcPr>
            <w:tcW w:w="1760" w:type="dxa"/>
          </w:tcPr>
          <w:p w:rsidR="00943920" w:rsidRDefault="00943920" w:rsidP="002E372B">
            <w:r>
              <w:t xml:space="preserve">Ongoing with contract period from </w:t>
            </w:r>
            <w:r w:rsidRPr="00943920">
              <w:t>October 2017 to June 2019</w:t>
            </w:r>
          </w:p>
        </w:tc>
        <w:tc>
          <w:tcPr>
            <w:tcW w:w="2397" w:type="dxa"/>
          </w:tcPr>
          <w:p w:rsidR="00943920" w:rsidRDefault="00943920" w:rsidP="00943920">
            <w:r w:rsidRPr="00D3414D">
              <w:t>Quarterly completion of Hub Data Collection Form</w:t>
            </w:r>
          </w:p>
          <w:p w:rsidR="00943920" w:rsidRDefault="00943920" w:rsidP="002E372B">
            <w:r w:rsidRPr="00943920">
              <w:t>Vista Logic Database – Number of entries, closed looped referrals</w:t>
            </w:r>
          </w:p>
        </w:tc>
        <w:tc>
          <w:tcPr>
            <w:tcW w:w="1851" w:type="dxa"/>
          </w:tcPr>
          <w:p w:rsidR="00943920" w:rsidRDefault="00943920" w:rsidP="002E372B">
            <w:r>
              <w:t>Blend of School Readiness Funds and Coordination Funds</w:t>
            </w:r>
          </w:p>
        </w:tc>
      </w:tr>
      <w:tr w:rsidR="00943920" w:rsidTr="00943920">
        <w:tc>
          <w:tcPr>
            <w:tcW w:w="1806" w:type="dxa"/>
          </w:tcPr>
          <w:p w:rsidR="002E372B" w:rsidRDefault="009217A5" w:rsidP="002E372B">
            <w:r>
              <w:t>Pollywog Project</w:t>
            </w:r>
          </w:p>
        </w:tc>
        <w:tc>
          <w:tcPr>
            <w:tcW w:w="1786" w:type="dxa"/>
          </w:tcPr>
          <w:p w:rsidR="002E372B" w:rsidRDefault="009217A5" w:rsidP="002E372B">
            <w:r>
              <w:t>Primary – 2.3 A&amp;C</w:t>
            </w:r>
            <w:r w:rsidR="000868C3">
              <w:t>, All Roles and Indicators from Goal 3</w:t>
            </w:r>
          </w:p>
          <w:p w:rsidR="009217A5" w:rsidRDefault="009217A5" w:rsidP="002E372B">
            <w:r>
              <w:t>Additional – Explore how Pollywog database could align with 2.1 B</w:t>
            </w:r>
          </w:p>
        </w:tc>
        <w:tc>
          <w:tcPr>
            <w:tcW w:w="1793" w:type="dxa"/>
          </w:tcPr>
          <w:p w:rsidR="002E372B" w:rsidRDefault="000868C3" w:rsidP="002E372B">
            <w:r>
              <w:t>Universal Project targeting services beginning Prenatally</w:t>
            </w:r>
          </w:p>
        </w:tc>
        <w:tc>
          <w:tcPr>
            <w:tcW w:w="1783" w:type="dxa"/>
          </w:tcPr>
          <w:p w:rsidR="002E372B" w:rsidRDefault="000868C3" w:rsidP="002E372B">
            <w:r>
              <w:t>Samaritan Health Services, Family Connections and Partner Agencies throughout the Region</w:t>
            </w:r>
          </w:p>
        </w:tc>
        <w:tc>
          <w:tcPr>
            <w:tcW w:w="1760" w:type="dxa"/>
          </w:tcPr>
          <w:p w:rsidR="002E372B" w:rsidRDefault="000868C3" w:rsidP="002E372B">
            <w:r>
              <w:t>Ongoing</w:t>
            </w:r>
          </w:p>
        </w:tc>
        <w:tc>
          <w:tcPr>
            <w:tcW w:w="2397" w:type="dxa"/>
          </w:tcPr>
          <w:p w:rsidR="002E372B" w:rsidRDefault="009217A5" w:rsidP="002E372B">
            <w:r>
              <w:t>Vista Logic Database – Number of entries, closed looped referrals</w:t>
            </w:r>
          </w:p>
          <w:p w:rsidR="000868C3" w:rsidRDefault="000868C3" w:rsidP="002E372B">
            <w:r>
              <w:t>CCO Quarterly Report</w:t>
            </w:r>
          </w:p>
        </w:tc>
        <w:tc>
          <w:tcPr>
            <w:tcW w:w="1851" w:type="dxa"/>
          </w:tcPr>
          <w:p w:rsidR="002E372B" w:rsidRDefault="009217A5" w:rsidP="002E372B">
            <w:r w:rsidRPr="009217A5">
              <w:t>IHN-CCO Funding</w:t>
            </w:r>
          </w:p>
        </w:tc>
      </w:tr>
      <w:tr w:rsidR="00943920" w:rsidTr="00943920">
        <w:tc>
          <w:tcPr>
            <w:tcW w:w="1806" w:type="dxa"/>
          </w:tcPr>
          <w:p w:rsidR="009217A5" w:rsidRDefault="009217A5" w:rsidP="002E372B">
            <w:r>
              <w:t>HART Together Program</w:t>
            </w:r>
          </w:p>
        </w:tc>
        <w:tc>
          <w:tcPr>
            <w:tcW w:w="1786" w:type="dxa"/>
          </w:tcPr>
          <w:p w:rsidR="009217A5" w:rsidRDefault="001D0AEB" w:rsidP="002E372B">
            <w:r>
              <w:t>Primary – 2.2 B</w:t>
            </w:r>
          </w:p>
          <w:p w:rsidR="00CD48E4" w:rsidRDefault="00CD48E4" w:rsidP="002E372B">
            <w:r>
              <w:t xml:space="preserve">Additionally – </w:t>
            </w:r>
          </w:p>
          <w:p w:rsidR="00CD48E4" w:rsidRDefault="00CD48E4" w:rsidP="002E372B">
            <w:r>
              <w:t xml:space="preserve">2.4 A, </w:t>
            </w:r>
          </w:p>
        </w:tc>
        <w:tc>
          <w:tcPr>
            <w:tcW w:w="1793" w:type="dxa"/>
          </w:tcPr>
          <w:p w:rsidR="009217A5" w:rsidRDefault="001D0AEB" w:rsidP="002E372B">
            <w:r w:rsidRPr="001D0AEB">
              <w:t>Children &amp; Families in Rural Communities</w:t>
            </w:r>
          </w:p>
        </w:tc>
        <w:tc>
          <w:tcPr>
            <w:tcW w:w="1783" w:type="dxa"/>
          </w:tcPr>
          <w:p w:rsidR="009217A5" w:rsidRDefault="00CD48E4" w:rsidP="002E372B">
            <w:r>
              <w:t>HART Community Center, Inc.</w:t>
            </w:r>
          </w:p>
        </w:tc>
        <w:tc>
          <w:tcPr>
            <w:tcW w:w="1760" w:type="dxa"/>
          </w:tcPr>
          <w:p w:rsidR="009217A5" w:rsidRDefault="00CD48E4" w:rsidP="002E372B">
            <w:r w:rsidRPr="00CD48E4">
              <w:t>2017-2018 School year &amp; 2018-2019 School Year</w:t>
            </w:r>
          </w:p>
        </w:tc>
        <w:tc>
          <w:tcPr>
            <w:tcW w:w="2397" w:type="dxa"/>
          </w:tcPr>
          <w:p w:rsidR="00CD48E4" w:rsidRDefault="00CD48E4" w:rsidP="00CD48E4">
            <w:r>
              <w:t>Family Event Survey conducted at the end of each school year.</w:t>
            </w:r>
          </w:p>
          <w:p w:rsidR="009217A5" w:rsidRDefault="00CD48E4" w:rsidP="00CD48E4">
            <w:r>
              <w:t xml:space="preserve">Ongoing analysis of KA data for district. Quarterly completion of </w:t>
            </w:r>
            <w:r>
              <w:lastRenderedPageBreak/>
              <w:t>Hub Data Collection Form</w:t>
            </w:r>
          </w:p>
        </w:tc>
        <w:tc>
          <w:tcPr>
            <w:tcW w:w="1851" w:type="dxa"/>
          </w:tcPr>
          <w:p w:rsidR="009217A5" w:rsidRPr="009217A5" w:rsidRDefault="001D0AEB" w:rsidP="002E372B">
            <w:r>
              <w:lastRenderedPageBreak/>
              <w:t>School Readiness Funds</w:t>
            </w:r>
          </w:p>
        </w:tc>
      </w:tr>
      <w:tr w:rsidR="008E2DFD" w:rsidTr="00943920">
        <w:tc>
          <w:tcPr>
            <w:tcW w:w="1806" w:type="dxa"/>
          </w:tcPr>
          <w:p w:rsidR="008E2DFD" w:rsidRDefault="008E2DFD" w:rsidP="002E372B">
            <w:r>
              <w:t>Early Childhood Workforce Development Committee</w:t>
            </w:r>
          </w:p>
        </w:tc>
        <w:tc>
          <w:tcPr>
            <w:tcW w:w="1786" w:type="dxa"/>
          </w:tcPr>
          <w:p w:rsidR="008E2DFD" w:rsidRDefault="008E2DFD" w:rsidP="002E372B">
            <w:r>
              <w:t>Primary – 2.4 A&amp;B</w:t>
            </w:r>
          </w:p>
        </w:tc>
        <w:tc>
          <w:tcPr>
            <w:tcW w:w="1793" w:type="dxa"/>
          </w:tcPr>
          <w:p w:rsidR="008E2DFD" w:rsidRPr="001D0AEB" w:rsidRDefault="008E2DFD" w:rsidP="002E372B">
            <w:r>
              <w:t>Early Learning Providers throughout region</w:t>
            </w:r>
          </w:p>
        </w:tc>
        <w:tc>
          <w:tcPr>
            <w:tcW w:w="1783" w:type="dxa"/>
          </w:tcPr>
          <w:p w:rsidR="008E2DFD" w:rsidRDefault="008E2DFD" w:rsidP="002E372B">
            <w:r>
              <w:t>CCR&amp;R</w:t>
            </w:r>
          </w:p>
        </w:tc>
        <w:tc>
          <w:tcPr>
            <w:tcW w:w="1760" w:type="dxa"/>
          </w:tcPr>
          <w:p w:rsidR="008E2DFD" w:rsidRPr="00CD48E4" w:rsidRDefault="008E2DFD" w:rsidP="002E372B">
            <w:r>
              <w:t>Planning sessions held throughout 2017 &amp; early 2018 followed by a training calendar based on identified needs</w:t>
            </w:r>
          </w:p>
        </w:tc>
        <w:tc>
          <w:tcPr>
            <w:tcW w:w="2397" w:type="dxa"/>
          </w:tcPr>
          <w:p w:rsidR="008E2DFD" w:rsidRDefault="008E2DFD" w:rsidP="00CD48E4">
            <w:r w:rsidRPr="008E2DFD">
              <w:t>SPARK data and Narrative Report from CCR&amp;R</w:t>
            </w:r>
          </w:p>
        </w:tc>
        <w:tc>
          <w:tcPr>
            <w:tcW w:w="1851" w:type="dxa"/>
          </w:tcPr>
          <w:p w:rsidR="008E2DFD" w:rsidRDefault="008E2DFD" w:rsidP="002E372B">
            <w:r>
              <w:t>School Readiness Funds</w:t>
            </w:r>
          </w:p>
        </w:tc>
      </w:tr>
      <w:tr w:rsidR="002E372B" w:rsidTr="00C14E69">
        <w:tc>
          <w:tcPr>
            <w:tcW w:w="13176" w:type="dxa"/>
            <w:gridSpan w:val="7"/>
          </w:tcPr>
          <w:p w:rsidR="002E372B" w:rsidRPr="004549E5" w:rsidRDefault="002E372B" w:rsidP="002E372B">
            <w:pPr>
              <w:rPr>
                <w:rFonts w:ascii="Arial" w:eastAsia="Times New Roman" w:hAnsi="Arial" w:cs="Arial"/>
                <w:b/>
                <w:color w:val="00B050"/>
              </w:rPr>
            </w:pPr>
            <w:r w:rsidRPr="004549E5">
              <w:rPr>
                <w:rFonts w:ascii="Arial" w:hAnsi="Arial" w:cs="Arial"/>
                <w:b/>
                <w:color w:val="00B050"/>
                <w:sz w:val="24"/>
              </w:rPr>
              <w:t xml:space="preserve">Outcome </w:t>
            </w:r>
            <w:r w:rsidRPr="004549E5">
              <w:rPr>
                <w:rFonts w:ascii="Arial" w:eastAsia="Times New Roman" w:hAnsi="Arial" w:cs="Arial"/>
                <w:b/>
                <w:color w:val="00B050"/>
                <w:sz w:val="24"/>
                <w:szCs w:val="24"/>
              </w:rPr>
              <w:t xml:space="preserve">Three: </w:t>
            </w:r>
            <w:r w:rsidRPr="004549E5">
              <w:rPr>
                <w:rFonts w:ascii="Arial" w:eastAsia="Times New Roman" w:hAnsi="Arial" w:cs="Arial"/>
                <w:b/>
                <w:i/>
                <w:color w:val="00B050"/>
                <w:sz w:val="24"/>
                <w:szCs w:val="24"/>
              </w:rPr>
              <w:t>Families are healthy, stable and attached</w:t>
            </w:r>
          </w:p>
          <w:p w:rsidR="002E372B" w:rsidRPr="00D7702A" w:rsidRDefault="002E372B" w:rsidP="002E372B">
            <w:pPr>
              <w:spacing w:after="200" w:line="276" w:lineRule="auto"/>
              <w:rPr>
                <w:rFonts w:ascii="Arial" w:hAnsi="Arial" w:cs="Arial"/>
                <w:b/>
              </w:rPr>
            </w:pPr>
          </w:p>
        </w:tc>
      </w:tr>
      <w:tr w:rsidR="002E372B" w:rsidTr="00C14E69">
        <w:tc>
          <w:tcPr>
            <w:tcW w:w="13176" w:type="dxa"/>
            <w:gridSpan w:val="7"/>
          </w:tcPr>
          <w:p w:rsidR="002E372B" w:rsidRDefault="002E372B" w:rsidP="002E372B">
            <w:pPr>
              <w:spacing w:after="200" w:line="276" w:lineRule="auto"/>
              <w:rPr>
                <w:rFonts w:ascii="Calibri" w:eastAsia="Times New Roman" w:hAnsi="Calibri" w:cs="Times New Roman"/>
                <w:bCs/>
                <w:color w:val="000000"/>
              </w:rPr>
            </w:pPr>
            <w:r>
              <w:rPr>
                <w:rFonts w:ascii="Arial" w:hAnsi="Arial" w:cs="Arial"/>
                <w:b/>
                <w:sz w:val="24"/>
                <w:szCs w:val="24"/>
              </w:rPr>
              <w:t>Hub Roles</w:t>
            </w:r>
            <w:r w:rsidRPr="00464D8B">
              <w:rPr>
                <w:rFonts w:ascii="Arial" w:hAnsi="Arial" w:cs="Arial"/>
                <w:b/>
                <w:sz w:val="24"/>
                <w:szCs w:val="24"/>
              </w:rPr>
              <w:t xml:space="preserve">: </w:t>
            </w:r>
            <w:r>
              <w:rPr>
                <w:rFonts w:ascii="Arial" w:hAnsi="Arial" w:cs="Arial"/>
                <w:b/>
                <w:sz w:val="24"/>
                <w:szCs w:val="24"/>
              </w:rPr>
              <w:t xml:space="preserve"> </w:t>
            </w:r>
            <w:r>
              <w:rPr>
                <w:rFonts w:ascii="Calibri" w:eastAsia="Times New Roman" w:hAnsi="Calibri" w:cs="Times New Roman"/>
                <w:color w:val="000000"/>
              </w:rPr>
              <w:t>3.1  Work</w:t>
            </w:r>
            <w:r w:rsidRPr="001D5628">
              <w:rPr>
                <w:rFonts w:ascii="Calibri" w:eastAsia="Times New Roman" w:hAnsi="Calibri" w:cs="Times New Roman"/>
                <w:color w:val="000000"/>
              </w:rPr>
              <w:t xml:space="preserve"> with early learning programs and other partners to ensure children and families from focus and </w:t>
            </w:r>
            <w:r w:rsidRPr="001D5628">
              <w:rPr>
                <w:rFonts w:ascii="Calibri" w:eastAsia="Times New Roman" w:hAnsi="Calibri" w:cs="Times New Roman"/>
              </w:rPr>
              <w:t xml:space="preserve">priority populations have access to culturally responsive </w:t>
            </w:r>
            <w:r w:rsidRPr="001D5628">
              <w:rPr>
                <w:rFonts w:ascii="Calibri" w:eastAsia="Times New Roman" w:hAnsi="Calibri" w:cs="Times New Roman"/>
                <w:bCs/>
                <w:color w:val="000000"/>
              </w:rPr>
              <w:t>family support services.</w:t>
            </w:r>
          </w:p>
          <w:p w:rsidR="002E372B" w:rsidRDefault="002E372B" w:rsidP="002E372B">
            <w:pPr>
              <w:rPr>
                <w:rFonts w:ascii="Calibri" w:eastAsia="Times New Roman" w:hAnsi="Calibri" w:cs="Times New Roman"/>
                <w:color w:val="000000"/>
              </w:rPr>
            </w:pPr>
            <w:r>
              <w:rPr>
                <w:rFonts w:ascii="Calibri" w:eastAsia="Times New Roman" w:hAnsi="Calibri" w:cs="Times New Roman"/>
                <w:bCs/>
                <w:color w:val="000000"/>
              </w:rPr>
              <w:t>Indicator A-</w:t>
            </w:r>
            <w:r>
              <w:rPr>
                <w:rFonts w:ascii="Calibri" w:eastAsia="Times New Roman" w:hAnsi="Calibri" w:cs="Times New Roman"/>
                <w:color w:val="000000"/>
              </w:rPr>
              <w:t xml:space="preserve"> Increased referrals to and use of food, housing and other basic supports</w:t>
            </w:r>
          </w:p>
          <w:p w:rsidR="002E372B" w:rsidRDefault="002E372B" w:rsidP="002E372B">
            <w:pPr>
              <w:rPr>
                <w:rFonts w:ascii="Calibri" w:eastAsia="Times New Roman" w:hAnsi="Calibri" w:cs="Times New Roman"/>
                <w:color w:val="000000"/>
              </w:rPr>
            </w:pPr>
          </w:p>
          <w:p w:rsidR="002E372B" w:rsidRPr="005944E7" w:rsidRDefault="002E372B" w:rsidP="002E372B">
            <w:pPr>
              <w:spacing w:after="200" w:line="276" w:lineRule="auto"/>
              <w:rPr>
                <w:rFonts w:ascii="Arial" w:hAnsi="Arial" w:cs="Arial"/>
                <w:b/>
                <w:sz w:val="24"/>
                <w:szCs w:val="24"/>
              </w:rPr>
            </w:pPr>
            <w:r>
              <w:rPr>
                <w:rFonts w:ascii="Calibri" w:eastAsia="Times New Roman" w:hAnsi="Calibri" w:cs="Times New Roman"/>
                <w:bCs/>
                <w:color w:val="000000"/>
              </w:rPr>
              <w:t>Indicator B-</w:t>
            </w:r>
            <w:r>
              <w:rPr>
                <w:rFonts w:ascii="Calibri" w:eastAsia="Times New Roman" w:hAnsi="Calibri" w:cs="Times New Roman"/>
                <w:color w:val="000000"/>
              </w:rPr>
              <w:t xml:space="preserve"> Increased utilization of </w:t>
            </w:r>
            <w:r w:rsidRPr="00C6787C">
              <w:rPr>
                <w:rFonts w:ascii="Calibri" w:eastAsia="Times New Roman" w:hAnsi="Calibri" w:cs="Times New Roman"/>
              </w:rPr>
              <w:t xml:space="preserve">financial supports, such as ERDC, Earned Income Tax Credits, etc.  </w:t>
            </w:r>
          </w:p>
          <w:p w:rsidR="002E372B" w:rsidRDefault="002E372B" w:rsidP="002E372B">
            <w:pPr>
              <w:spacing w:after="200" w:line="276" w:lineRule="auto"/>
              <w:rPr>
                <w:rFonts w:ascii="Calibri" w:eastAsia="Times New Roman" w:hAnsi="Calibri" w:cs="Times New Roman"/>
              </w:rPr>
            </w:pPr>
            <w:r>
              <w:rPr>
                <w:rFonts w:ascii="Calibri" w:eastAsia="Times New Roman" w:hAnsi="Calibri" w:cs="Times New Roman"/>
                <w:bCs/>
                <w:color w:val="000000"/>
              </w:rPr>
              <w:t>3.2-</w:t>
            </w:r>
            <w:r w:rsidRPr="001D5628">
              <w:rPr>
                <w:rFonts w:ascii="Calibri" w:eastAsia="Times New Roman" w:hAnsi="Calibri" w:cs="Times New Roman"/>
                <w:bCs/>
              </w:rPr>
              <w:t xml:space="preserve"> </w:t>
            </w:r>
            <w:r>
              <w:rPr>
                <w:rFonts w:ascii="Calibri" w:eastAsia="Times New Roman" w:hAnsi="Calibri" w:cs="Times New Roman"/>
                <w:bCs/>
              </w:rPr>
              <w:t>C</w:t>
            </w:r>
            <w:r w:rsidRPr="001D5628">
              <w:rPr>
                <w:rFonts w:ascii="Calibri" w:eastAsia="Times New Roman" w:hAnsi="Calibri" w:cs="Times New Roman"/>
                <w:bCs/>
              </w:rPr>
              <w:t>ollaborate with the health sector to address the social determinants of health</w:t>
            </w:r>
            <w:r w:rsidRPr="001D5628">
              <w:rPr>
                <w:rFonts w:ascii="Calibri" w:eastAsia="Times New Roman" w:hAnsi="Calibri" w:cs="Times New Roman"/>
              </w:rPr>
              <w:t xml:space="preserve"> that lead to health and well-being for young children and their families.</w:t>
            </w:r>
          </w:p>
          <w:p w:rsidR="002E372B" w:rsidRPr="009B6EF8" w:rsidRDefault="002E372B" w:rsidP="002E372B">
            <w:pPr>
              <w:rPr>
                <w:rFonts w:ascii="Calibri" w:eastAsia="Times New Roman" w:hAnsi="Calibri" w:cs="Times New Roman"/>
              </w:rPr>
            </w:pPr>
            <w:r>
              <w:rPr>
                <w:rFonts w:ascii="Calibri" w:eastAsia="Times New Roman" w:hAnsi="Calibri" w:cs="Times New Roman"/>
                <w:bCs/>
                <w:color w:val="000000"/>
              </w:rPr>
              <w:t>Indicator A-</w:t>
            </w:r>
            <w:r w:rsidRPr="009B6EF8">
              <w:rPr>
                <w:rFonts w:ascii="Calibri" w:eastAsia="Times New Roman" w:hAnsi="Calibri" w:cs="Times New Roman"/>
              </w:rPr>
              <w:t>Identification of common goals and plan for implementation with CCO and health partners related to social determinants of health</w:t>
            </w:r>
          </w:p>
          <w:p w:rsidR="002E372B" w:rsidRPr="009B6EF8" w:rsidRDefault="002E372B" w:rsidP="002E372B">
            <w:pPr>
              <w:rPr>
                <w:rFonts w:ascii="Calibri" w:eastAsia="Times New Roman" w:hAnsi="Calibri" w:cs="Times New Roman"/>
              </w:rPr>
            </w:pPr>
          </w:p>
          <w:p w:rsidR="002E372B" w:rsidRDefault="002E372B" w:rsidP="002E372B">
            <w:pPr>
              <w:spacing w:after="200" w:line="276" w:lineRule="auto"/>
              <w:rPr>
                <w:rFonts w:ascii="Calibri" w:eastAsia="Times New Roman" w:hAnsi="Calibri" w:cs="Times New Roman"/>
              </w:rPr>
            </w:pPr>
            <w:r>
              <w:rPr>
                <w:rFonts w:ascii="Calibri" w:eastAsia="Times New Roman" w:hAnsi="Calibri" w:cs="Times New Roman"/>
                <w:bCs/>
                <w:color w:val="000000"/>
              </w:rPr>
              <w:t xml:space="preserve">Indicator B- </w:t>
            </w:r>
            <w:r w:rsidRPr="009B6EF8">
              <w:rPr>
                <w:rFonts w:ascii="Calibri" w:eastAsia="Times New Roman" w:hAnsi="Calibri" w:cs="Times New Roman"/>
              </w:rPr>
              <w:t>Increased shared strategies by health and early partners to identify and address barriers to children’s healthy physical, cognitive, and social development</w:t>
            </w:r>
          </w:p>
          <w:p w:rsidR="002E372B" w:rsidRDefault="002E372B" w:rsidP="002E372B">
            <w:pPr>
              <w:spacing w:after="200" w:line="276" w:lineRule="auto"/>
              <w:rPr>
                <w:rFonts w:ascii="Calibri" w:eastAsia="Times New Roman" w:hAnsi="Calibri" w:cs="Times New Roman"/>
                <w:bCs/>
                <w:color w:val="000000"/>
              </w:rPr>
            </w:pPr>
            <w:r>
              <w:rPr>
                <w:rFonts w:ascii="Calibri" w:eastAsia="Times New Roman" w:hAnsi="Calibri" w:cs="Times New Roman"/>
              </w:rPr>
              <w:t>3.3-</w:t>
            </w:r>
            <w:r w:rsidRPr="001D5628">
              <w:rPr>
                <w:rFonts w:ascii="Calibri" w:eastAsia="Times New Roman" w:hAnsi="Calibri" w:cs="Times New Roman"/>
                <w:color w:val="000000"/>
              </w:rPr>
              <w:t xml:space="preserve"> </w:t>
            </w:r>
            <w:r>
              <w:rPr>
                <w:rFonts w:ascii="Calibri" w:eastAsia="Times New Roman" w:hAnsi="Calibri" w:cs="Times New Roman"/>
                <w:color w:val="000000"/>
              </w:rPr>
              <w:t>W</w:t>
            </w:r>
            <w:r w:rsidRPr="001D5628">
              <w:rPr>
                <w:rFonts w:ascii="Calibri" w:eastAsia="Times New Roman" w:hAnsi="Calibri" w:cs="Times New Roman"/>
                <w:color w:val="000000"/>
              </w:rPr>
              <w:t>ork with community partners to</w:t>
            </w:r>
            <w:r w:rsidRPr="001D5628">
              <w:rPr>
                <w:rFonts w:ascii="Calibri" w:eastAsia="Times New Roman" w:hAnsi="Calibri" w:cs="Times New Roman"/>
                <w:bCs/>
                <w:color w:val="000000"/>
              </w:rPr>
              <w:t xml:space="preserve"> increase protective factors and reduce childhood experiences of abuse or neglect.</w:t>
            </w:r>
          </w:p>
          <w:p w:rsidR="002E372B" w:rsidRDefault="002E372B" w:rsidP="002E372B">
            <w:pPr>
              <w:rPr>
                <w:rFonts w:ascii="Calibri" w:eastAsia="Times New Roman" w:hAnsi="Calibri" w:cs="Times New Roman"/>
                <w:color w:val="000000"/>
              </w:rPr>
            </w:pPr>
            <w:r>
              <w:rPr>
                <w:rFonts w:ascii="Calibri" w:eastAsia="Times New Roman" w:hAnsi="Calibri" w:cs="Times New Roman"/>
                <w:bCs/>
                <w:color w:val="000000"/>
              </w:rPr>
              <w:lastRenderedPageBreak/>
              <w:t>Indicator A-</w:t>
            </w:r>
            <w:r>
              <w:rPr>
                <w:rFonts w:ascii="Calibri" w:eastAsia="Times New Roman" w:hAnsi="Calibri" w:cs="Times New Roman"/>
                <w:color w:val="000000"/>
              </w:rPr>
              <w:t xml:space="preserve"> Increased community awareness of protective factors.</w:t>
            </w:r>
          </w:p>
          <w:p w:rsidR="002E372B" w:rsidRDefault="002E372B" w:rsidP="002E372B">
            <w:pPr>
              <w:rPr>
                <w:rFonts w:ascii="Calibri" w:eastAsia="Times New Roman" w:hAnsi="Calibri" w:cs="Times New Roman"/>
                <w:color w:val="000000"/>
              </w:rPr>
            </w:pPr>
          </w:p>
          <w:p w:rsidR="002E372B" w:rsidRDefault="002E372B" w:rsidP="002E372B">
            <w:pPr>
              <w:rPr>
                <w:rFonts w:ascii="Calibri" w:eastAsia="Times New Roman" w:hAnsi="Calibri" w:cs="Times New Roman"/>
                <w:color w:val="000000"/>
              </w:rPr>
            </w:pPr>
            <w:r>
              <w:rPr>
                <w:rFonts w:ascii="Calibri" w:eastAsia="Times New Roman" w:hAnsi="Calibri" w:cs="Times New Roman"/>
                <w:bCs/>
                <w:color w:val="000000"/>
              </w:rPr>
              <w:t>Indicator B-</w:t>
            </w:r>
            <w:r>
              <w:rPr>
                <w:rFonts w:ascii="Calibri" w:eastAsia="Times New Roman" w:hAnsi="Calibri" w:cs="Times New Roman"/>
                <w:color w:val="000000"/>
              </w:rPr>
              <w:t xml:space="preserve"> Increase in number of families at risk of abuse and neglect who access preventive services such as home visiting, relief nurseries, parent education, etc.</w:t>
            </w:r>
          </w:p>
          <w:p w:rsidR="002E372B" w:rsidRDefault="002E372B" w:rsidP="002E372B">
            <w:pPr>
              <w:spacing w:after="200" w:line="276" w:lineRule="auto"/>
              <w:rPr>
                <w:rFonts w:ascii="Calibri" w:eastAsia="Times New Roman" w:hAnsi="Calibri" w:cs="Times New Roman"/>
                <w:bCs/>
                <w:color w:val="000000"/>
              </w:rPr>
            </w:pPr>
          </w:p>
          <w:p w:rsidR="002E372B" w:rsidRDefault="002E372B" w:rsidP="002E372B">
            <w:pPr>
              <w:spacing w:after="200" w:line="276" w:lineRule="auto"/>
              <w:rPr>
                <w:rFonts w:ascii="Calibri" w:eastAsia="Times New Roman" w:hAnsi="Calibri" w:cs="Times New Roman"/>
                <w:bCs/>
                <w:color w:val="000000"/>
              </w:rPr>
            </w:pPr>
            <w:r>
              <w:rPr>
                <w:rFonts w:ascii="Calibri" w:eastAsia="Times New Roman" w:hAnsi="Calibri" w:cs="Times New Roman"/>
                <w:bCs/>
                <w:color w:val="000000"/>
              </w:rPr>
              <w:t>3.4-</w:t>
            </w:r>
            <w:r w:rsidRPr="001D5628">
              <w:rPr>
                <w:rFonts w:ascii="Calibri" w:eastAsia="Times New Roman" w:hAnsi="Calibri" w:cs="Times New Roman"/>
                <w:color w:val="000000"/>
              </w:rPr>
              <w:t xml:space="preserve"> </w:t>
            </w:r>
            <w:r>
              <w:rPr>
                <w:rFonts w:ascii="Calibri" w:eastAsia="Times New Roman" w:hAnsi="Calibri" w:cs="Times New Roman"/>
                <w:color w:val="000000"/>
              </w:rPr>
              <w:t>W</w:t>
            </w:r>
            <w:r w:rsidRPr="001D5628">
              <w:rPr>
                <w:rFonts w:ascii="Calibri" w:eastAsia="Times New Roman" w:hAnsi="Calibri" w:cs="Times New Roman"/>
                <w:color w:val="000000"/>
              </w:rPr>
              <w:t xml:space="preserve">ork with community partners to ensure </w:t>
            </w:r>
            <w:r w:rsidRPr="001D5628">
              <w:rPr>
                <w:rFonts w:ascii="Calibri" w:eastAsia="Times New Roman" w:hAnsi="Calibri" w:cs="Times New Roman"/>
              </w:rPr>
              <w:t xml:space="preserve">children and families from focus and priority populations have </w:t>
            </w:r>
            <w:r w:rsidRPr="001D5628">
              <w:rPr>
                <w:rFonts w:ascii="Calibri" w:eastAsia="Times New Roman" w:hAnsi="Calibri" w:cs="Times New Roman"/>
                <w:bCs/>
              </w:rPr>
              <w:t>access to medical</w:t>
            </w:r>
            <w:r w:rsidRPr="001D5628">
              <w:rPr>
                <w:rFonts w:ascii="Calibri" w:eastAsia="Times New Roman" w:hAnsi="Calibri" w:cs="Times New Roman"/>
                <w:bCs/>
                <w:color w:val="000000"/>
              </w:rPr>
              <w:t>, dental, mental health and other health care services.</w:t>
            </w:r>
            <w:r>
              <w:rPr>
                <w:rFonts w:ascii="Calibri" w:eastAsia="Times New Roman" w:hAnsi="Calibri" w:cs="Times New Roman"/>
                <w:bCs/>
                <w:color w:val="000000"/>
              </w:rPr>
              <w:t xml:space="preserve"> </w:t>
            </w:r>
          </w:p>
          <w:p w:rsidR="002E372B" w:rsidRPr="00D14A90" w:rsidRDefault="002E372B" w:rsidP="002E372B">
            <w:pPr>
              <w:spacing w:after="200" w:line="276" w:lineRule="auto"/>
              <w:rPr>
                <w:rFonts w:ascii="Arial" w:hAnsi="Arial" w:cs="Arial"/>
                <w:b/>
                <w:sz w:val="24"/>
                <w:szCs w:val="24"/>
              </w:rPr>
            </w:pPr>
            <w:proofErr w:type="gramStart"/>
            <w:r>
              <w:rPr>
                <w:rFonts w:ascii="Calibri" w:eastAsia="Times New Roman" w:hAnsi="Calibri" w:cs="Times New Roman"/>
                <w:bCs/>
                <w:color w:val="000000"/>
              </w:rPr>
              <w:t>Indicator A-</w:t>
            </w:r>
            <w:r w:rsidRPr="0086111D">
              <w:rPr>
                <w:rFonts w:ascii="Calibri" w:eastAsia="Times New Roman" w:hAnsi="Calibri" w:cs="Times New Roman"/>
              </w:rPr>
              <w:t xml:space="preserve"> Children from focus and priority populations are accessing well-child visits, dental visits/dental home, immunizations, </w:t>
            </w:r>
            <w:proofErr w:type="spellStart"/>
            <w:r w:rsidRPr="0086111D">
              <w:rPr>
                <w:rFonts w:ascii="Calibri" w:eastAsia="Times New Roman" w:hAnsi="Calibri" w:cs="Times New Roman"/>
              </w:rPr>
              <w:t>etc</w:t>
            </w:r>
            <w:proofErr w:type="spellEnd"/>
            <w:proofErr w:type="gramEnd"/>
            <w:r w:rsidRPr="0086111D">
              <w:rPr>
                <w:rFonts w:ascii="Calibri" w:eastAsia="Times New Roman" w:hAnsi="Calibri" w:cs="Times New Roman"/>
              </w:rPr>
              <w:t xml:space="preserve">, </w:t>
            </w:r>
            <w:proofErr w:type="gramStart"/>
            <w:r w:rsidRPr="0086111D">
              <w:rPr>
                <w:rFonts w:ascii="Calibri" w:eastAsia="Times New Roman" w:hAnsi="Calibri" w:cs="Times New Roman"/>
              </w:rPr>
              <w:t>they need to be healthy</w:t>
            </w:r>
            <w:proofErr w:type="gramEnd"/>
            <w:r w:rsidRPr="0086111D">
              <w:rPr>
                <w:rFonts w:ascii="Calibri" w:eastAsia="Times New Roman" w:hAnsi="Calibri" w:cs="Times New Roman"/>
              </w:rPr>
              <w:t>.</w:t>
            </w:r>
          </w:p>
        </w:tc>
      </w:tr>
      <w:tr w:rsidR="00943920" w:rsidTr="00943920">
        <w:tc>
          <w:tcPr>
            <w:tcW w:w="1806" w:type="dxa"/>
          </w:tcPr>
          <w:p w:rsidR="002E372B" w:rsidRPr="005C077B" w:rsidRDefault="002E372B" w:rsidP="002E372B">
            <w:pPr>
              <w:rPr>
                <w:rFonts w:ascii="Aharoni" w:hAnsi="Aharoni" w:cs="Aharoni"/>
                <w:sz w:val="24"/>
                <w:szCs w:val="24"/>
              </w:rPr>
            </w:pPr>
            <w:r w:rsidRPr="005C077B">
              <w:rPr>
                <w:rFonts w:ascii="Aharoni" w:hAnsi="Aharoni" w:cs="Aharoni"/>
                <w:sz w:val="24"/>
                <w:szCs w:val="24"/>
              </w:rPr>
              <w:lastRenderedPageBreak/>
              <w:t>Key activities</w:t>
            </w:r>
          </w:p>
        </w:tc>
        <w:tc>
          <w:tcPr>
            <w:tcW w:w="1786" w:type="dxa"/>
          </w:tcPr>
          <w:p w:rsidR="002E372B" w:rsidRDefault="002E372B" w:rsidP="002E372B">
            <w:pPr>
              <w:rPr>
                <w:rFonts w:ascii="Aharoni" w:hAnsi="Aharoni" w:cs="Aharoni"/>
                <w:sz w:val="24"/>
                <w:szCs w:val="24"/>
              </w:rPr>
            </w:pPr>
            <w:r w:rsidRPr="005C077B">
              <w:rPr>
                <w:rFonts w:ascii="Aharoni" w:hAnsi="Aharoni" w:cs="Aharoni"/>
                <w:sz w:val="24"/>
                <w:szCs w:val="24"/>
              </w:rPr>
              <w:t>Indicator</w:t>
            </w:r>
            <w:r>
              <w:rPr>
                <w:rFonts w:ascii="Aharoni" w:hAnsi="Aharoni" w:cs="Aharoni"/>
                <w:sz w:val="24"/>
                <w:szCs w:val="24"/>
              </w:rPr>
              <w:t>(s)</w:t>
            </w:r>
          </w:p>
          <w:p w:rsidR="002E372B" w:rsidRPr="005C077B" w:rsidRDefault="002E372B" w:rsidP="002E372B">
            <w:pPr>
              <w:rPr>
                <w:rFonts w:ascii="Aharoni" w:hAnsi="Aharoni" w:cs="Aharoni"/>
                <w:sz w:val="24"/>
                <w:szCs w:val="24"/>
              </w:rPr>
            </w:pPr>
          </w:p>
        </w:tc>
        <w:tc>
          <w:tcPr>
            <w:tcW w:w="1793" w:type="dxa"/>
          </w:tcPr>
          <w:p w:rsidR="002E372B" w:rsidRPr="005C077B" w:rsidRDefault="002E372B" w:rsidP="002E372B">
            <w:pPr>
              <w:rPr>
                <w:rFonts w:ascii="Aharoni" w:hAnsi="Aharoni" w:cs="Aharoni"/>
                <w:sz w:val="24"/>
                <w:szCs w:val="24"/>
              </w:rPr>
            </w:pPr>
            <w:r w:rsidRPr="005C077B">
              <w:rPr>
                <w:rFonts w:ascii="Aharoni" w:hAnsi="Aharoni" w:cs="Aharoni"/>
                <w:sz w:val="24"/>
                <w:szCs w:val="24"/>
              </w:rPr>
              <w:t>Target Population</w:t>
            </w:r>
          </w:p>
        </w:tc>
        <w:tc>
          <w:tcPr>
            <w:tcW w:w="1783" w:type="dxa"/>
          </w:tcPr>
          <w:p w:rsidR="002E372B" w:rsidRPr="005C077B" w:rsidRDefault="002E372B" w:rsidP="002E372B">
            <w:pPr>
              <w:rPr>
                <w:rFonts w:ascii="Aharoni" w:hAnsi="Aharoni" w:cs="Aharoni"/>
                <w:sz w:val="24"/>
                <w:szCs w:val="24"/>
              </w:rPr>
            </w:pPr>
            <w:r>
              <w:rPr>
                <w:rFonts w:ascii="Aharoni" w:hAnsi="Aharoni" w:cs="Aharoni"/>
                <w:sz w:val="24"/>
                <w:szCs w:val="24"/>
              </w:rPr>
              <w:t>P</w:t>
            </w:r>
            <w:r w:rsidRPr="005C077B">
              <w:rPr>
                <w:rFonts w:ascii="Aharoni" w:hAnsi="Aharoni" w:cs="Aharoni"/>
                <w:sz w:val="24"/>
                <w:szCs w:val="24"/>
              </w:rPr>
              <w:t>artners</w:t>
            </w:r>
          </w:p>
        </w:tc>
        <w:tc>
          <w:tcPr>
            <w:tcW w:w="1760" w:type="dxa"/>
          </w:tcPr>
          <w:p w:rsidR="002E372B" w:rsidRPr="005C077B" w:rsidRDefault="002E372B" w:rsidP="002E372B">
            <w:pPr>
              <w:rPr>
                <w:rFonts w:ascii="Aharoni" w:hAnsi="Aharoni" w:cs="Aharoni"/>
                <w:sz w:val="24"/>
                <w:szCs w:val="24"/>
              </w:rPr>
            </w:pPr>
            <w:r w:rsidRPr="005C077B">
              <w:rPr>
                <w:rFonts w:ascii="Aharoni" w:hAnsi="Aharoni" w:cs="Aharoni"/>
                <w:sz w:val="24"/>
                <w:szCs w:val="24"/>
              </w:rPr>
              <w:t>Timeline</w:t>
            </w:r>
          </w:p>
        </w:tc>
        <w:tc>
          <w:tcPr>
            <w:tcW w:w="2397" w:type="dxa"/>
          </w:tcPr>
          <w:p w:rsidR="002E372B" w:rsidRPr="005C077B" w:rsidRDefault="002E372B" w:rsidP="002E372B">
            <w:pPr>
              <w:rPr>
                <w:rFonts w:ascii="Aharoni" w:hAnsi="Aharoni" w:cs="Aharoni"/>
                <w:sz w:val="24"/>
                <w:szCs w:val="24"/>
              </w:rPr>
            </w:pPr>
            <w:r w:rsidRPr="005C077B">
              <w:rPr>
                <w:rFonts w:ascii="Aharoni" w:hAnsi="Aharoni" w:cs="Aharoni"/>
                <w:sz w:val="24"/>
                <w:szCs w:val="24"/>
              </w:rPr>
              <w:t>Measurement/Data Source</w:t>
            </w:r>
          </w:p>
        </w:tc>
        <w:tc>
          <w:tcPr>
            <w:tcW w:w="1851" w:type="dxa"/>
          </w:tcPr>
          <w:p w:rsidR="002E372B" w:rsidRPr="005C077B" w:rsidRDefault="002E372B" w:rsidP="002E372B">
            <w:pPr>
              <w:rPr>
                <w:rFonts w:ascii="Aharoni" w:hAnsi="Aharoni" w:cs="Aharoni"/>
                <w:sz w:val="24"/>
                <w:szCs w:val="24"/>
              </w:rPr>
            </w:pPr>
            <w:r w:rsidRPr="005C077B">
              <w:rPr>
                <w:rFonts w:ascii="Aharoni" w:hAnsi="Aharoni" w:cs="Aharoni"/>
                <w:sz w:val="24"/>
                <w:szCs w:val="24"/>
              </w:rPr>
              <w:t xml:space="preserve">ELD Funding stream/Other funding </w:t>
            </w:r>
          </w:p>
        </w:tc>
      </w:tr>
      <w:tr w:rsidR="00943920" w:rsidTr="00943920">
        <w:tc>
          <w:tcPr>
            <w:tcW w:w="1806" w:type="dxa"/>
          </w:tcPr>
          <w:p w:rsidR="000868C3" w:rsidRDefault="000868C3" w:rsidP="000868C3">
            <w:r>
              <w:t>211 Community Engagement Coordinator</w:t>
            </w:r>
          </w:p>
        </w:tc>
        <w:tc>
          <w:tcPr>
            <w:tcW w:w="1786" w:type="dxa"/>
          </w:tcPr>
          <w:p w:rsidR="000868C3" w:rsidRDefault="000868C3" w:rsidP="000868C3">
            <w:r>
              <w:t>Primary – 2.3 A &amp; 3.1 A</w:t>
            </w:r>
          </w:p>
        </w:tc>
        <w:tc>
          <w:tcPr>
            <w:tcW w:w="1793" w:type="dxa"/>
          </w:tcPr>
          <w:p w:rsidR="000868C3" w:rsidRDefault="000868C3" w:rsidP="000868C3">
            <w:r>
              <w:t>Universal</w:t>
            </w:r>
          </w:p>
        </w:tc>
        <w:tc>
          <w:tcPr>
            <w:tcW w:w="1783" w:type="dxa"/>
          </w:tcPr>
          <w:p w:rsidR="000868C3" w:rsidRDefault="000868C3" w:rsidP="000868C3">
            <w:r>
              <w:t>211</w:t>
            </w:r>
          </w:p>
        </w:tc>
        <w:tc>
          <w:tcPr>
            <w:tcW w:w="1760" w:type="dxa"/>
          </w:tcPr>
          <w:p w:rsidR="000868C3" w:rsidRDefault="000868C3" w:rsidP="000868C3">
            <w:r>
              <w:t>Ongoing</w:t>
            </w:r>
          </w:p>
        </w:tc>
        <w:tc>
          <w:tcPr>
            <w:tcW w:w="2397" w:type="dxa"/>
          </w:tcPr>
          <w:p w:rsidR="000868C3" w:rsidRDefault="000868C3" w:rsidP="000868C3">
            <w:r>
              <w:t>211 Quarterly Data Reports &amp; Narrative reports from CEC</w:t>
            </w:r>
          </w:p>
        </w:tc>
        <w:tc>
          <w:tcPr>
            <w:tcW w:w="1851" w:type="dxa"/>
          </w:tcPr>
          <w:p w:rsidR="000868C3" w:rsidRDefault="000868C3" w:rsidP="000868C3">
            <w:r>
              <w:t>Blend of School Readiness Funds and Title IV-B2</w:t>
            </w:r>
          </w:p>
        </w:tc>
      </w:tr>
      <w:tr w:rsidR="00943920" w:rsidTr="00943920">
        <w:tc>
          <w:tcPr>
            <w:tcW w:w="1806" w:type="dxa"/>
          </w:tcPr>
          <w:p w:rsidR="000868C3" w:rsidRDefault="000868C3" w:rsidP="000868C3">
            <w:r>
              <w:t>Pollywog Project</w:t>
            </w:r>
          </w:p>
          <w:p w:rsidR="008E2DFD" w:rsidRDefault="008E2DFD" w:rsidP="000868C3"/>
        </w:tc>
        <w:tc>
          <w:tcPr>
            <w:tcW w:w="1786" w:type="dxa"/>
          </w:tcPr>
          <w:p w:rsidR="000868C3" w:rsidRDefault="000868C3" w:rsidP="000868C3">
            <w:r>
              <w:t>Primary – 2.3 A&amp;C, All Roles and Indicators from Goal 3</w:t>
            </w:r>
          </w:p>
          <w:p w:rsidR="000868C3" w:rsidRDefault="000868C3" w:rsidP="000868C3">
            <w:r>
              <w:t>Additional – Explore how Pollywog database could align with 2.1 B</w:t>
            </w:r>
          </w:p>
        </w:tc>
        <w:tc>
          <w:tcPr>
            <w:tcW w:w="1793" w:type="dxa"/>
          </w:tcPr>
          <w:p w:rsidR="000868C3" w:rsidRDefault="000868C3" w:rsidP="000868C3">
            <w:r>
              <w:t>Universal Project targeting services beginning Prenatally</w:t>
            </w:r>
          </w:p>
        </w:tc>
        <w:tc>
          <w:tcPr>
            <w:tcW w:w="1783" w:type="dxa"/>
          </w:tcPr>
          <w:p w:rsidR="000868C3" w:rsidRDefault="000868C3" w:rsidP="000868C3">
            <w:r>
              <w:t>Samaritan Health Services, Family Connections and Partner Agencies throughout the Region</w:t>
            </w:r>
          </w:p>
        </w:tc>
        <w:tc>
          <w:tcPr>
            <w:tcW w:w="1760" w:type="dxa"/>
          </w:tcPr>
          <w:p w:rsidR="000868C3" w:rsidRDefault="000868C3" w:rsidP="000868C3">
            <w:r>
              <w:t>Ongoing</w:t>
            </w:r>
          </w:p>
        </w:tc>
        <w:tc>
          <w:tcPr>
            <w:tcW w:w="2397" w:type="dxa"/>
          </w:tcPr>
          <w:p w:rsidR="000868C3" w:rsidRDefault="000868C3" w:rsidP="000868C3">
            <w:r>
              <w:t>Vista Logic Database – Number of entries, closed looped referrals</w:t>
            </w:r>
          </w:p>
          <w:p w:rsidR="000868C3" w:rsidRDefault="000868C3" w:rsidP="000868C3">
            <w:r>
              <w:t>CCO Quarterly Report</w:t>
            </w:r>
          </w:p>
        </w:tc>
        <w:tc>
          <w:tcPr>
            <w:tcW w:w="1851" w:type="dxa"/>
          </w:tcPr>
          <w:p w:rsidR="000868C3" w:rsidRDefault="000868C3" w:rsidP="000868C3">
            <w:r w:rsidRPr="009217A5">
              <w:t>IHN-CCO Funding</w:t>
            </w:r>
          </w:p>
        </w:tc>
      </w:tr>
      <w:tr w:rsidR="008E2DFD" w:rsidTr="00943920">
        <w:tc>
          <w:tcPr>
            <w:tcW w:w="1806" w:type="dxa"/>
          </w:tcPr>
          <w:p w:rsidR="008E2DFD" w:rsidRDefault="008E2DFD" w:rsidP="000868C3">
            <w:r>
              <w:t xml:space="preserve">Reducing Barriers to Parenting </w:t>
            </w:r>
            <w:r>
              <w:lastRenderedPageBreak/>
              <w:t>Education</w:t>
            </w:r>
          </w:p>
        </w:tc>
        <w:tc>
          <w:tcPr>
            <w:tcW w:w="1786" w:type="dxa"/>
          </w:tcPr>
          <w:p w:rsidR="008E2DFD" w:rsidRDefault="008E2DFD" w:rsidP="000868C3">
            <w:r>
              <w:lastRenderedPageBreak/>
              <w:t>Primary 3.3 B</w:t>
            </w:r>
          </w:p>
        </w:tc>
        <w:tc>
          <w:tcPr>
            <w:tcW w:w="1793" w:type="dxa"/>
          </w:tcPr>
          <w:p w:rsidR="008E2DFD" w:rsidRDefault="008E2DFD" w:rsidP="000868C3">
            <w:r>
              <w:t xml:space="preserve">Universal project targeting rural </w:t>
            </w:r>
            <w:r>
              <w:lastRenderedPageBreak/>
              <w:t>communities</w:t>
            </w:r>
          </w:p>
        </w:tc>
        <w:tc>
          <w:tcPr>
            <w:tcW w:w="1783" w:type="dxa"/>
          </w:tcPr>
          <w:p w:rsidR="008E2DFD" w:rsidRDefault="008E2DFD" w:rsidP="000868C3">
            <w:r>
              <w:lastRenderedPageBreak/>
              <w:t xml:space="preserve">Parenting Success Network </w:t>
            </w:r>
            <w:r>
              <w:lastRenderedPageBreak/>
              <w:t>(OPEC Hub)</w:t>
            </w:r>
          </w:p>
        </w:tc>
        <w:tc>
          <w:tcPr>
            <w:tcW w:w="1760" w:type="dxa"/>
          </w:tcPr>
          <w:p w:rsidR="008E2DFD" w:rsidRDefault="0071636B" w:rsidP="000868C3">
            <w:r>
              <w:lastRenderedPageBreak/>
              <w:t>Ongoing</w:t>
            </w:r>
          </w:p>
        </w:tc>
        <w:tc>
          <w:tcPr>
            <w:tcW w:w="2397" w:type="dxa"/>
          </w:tcPr>
          <w:p w:rsidR="008E2DFD" w:rsidRDefault="0071636B" w:rsidP="000868C3">
            <w:r w:rsidRPr="0071636B">
              <w:t xml:space="preserve">Quarterly completion of Hub Data Collection </w:t>
            </w:r>
            <w:r w:rsidRPr="0071636B">
              <w:lastRenderedPageBreak/>
              <w:t>Form</w:t>
            </w:r>
          </w:p>
          <w:p w:rsidR="0071636B" w:rsidRDefault="0071636B" w:rsidP="000868C3">
            <w:r>
              <w:t>Parenting Skills Ladder</w:t>
            </w:r>
          </w:p>
        </w:tc>
        <w:tc>
          <w:tcPr>
            <w:tcW w:w="1851" w:type="dxa"/>
          </w:tcPr>
          <w:p w:rsidR="008E2DFD" w:rsidRPr="009217A5" w:rsidRDefault="0071636B" w:rsidP="000868C3">
            <w:r>
              <w:lastRenderedPageBreak/>
              <w:t xml:space="preserve">Blend of School Readiness </w:t>
            </w:r>
            <w:r w:rsidRPr="0071636B">
              <w:t>and</w:t>
            </w:r>
            <w:r>
              <w:t xml:space="preserve"> </w:t>
            </w:r>
            <w:r>
              <w:lastRenderedPageBreak/>
              <w:t>Family Stability Funds</w:t>
            </w:r>
          </w:p>
        </w:tc>
      </w:tr>
      <w:tr w:rsidR="00943920" w:rsidTr="00943920">
        <w:tc>
          <w:tcPr>
            <w:tcW w:w="1806" w:type="dxa"/>
          </w:tcPr>
          <w:p w:rsidR="000868C3" w:rsidRDefault="00E12BB0" w:rsidP="000868C3">
            <w:r>
              <w:lastRenderedPageBreak/>
              <w:t>Benton County Relief Nursery Expansion</w:t>
            </w:r>
          </w:p>
        </w:tc>
        <w:tc>
          <w:tcPr>
            <w:tcW w:w="1786" w:type="dxa"/>
          </w:tcPr>
          <w:p w:rsidR="000868C3" w:rsidRDefault="00E12BB0" w:rsidP="000868C3">
            <w:r>
              <w:t>Primary – 3.3 A&amp;B</w:t>
            </w:r>
          </w:p>
          <w:p w:rsidR="00E12BB0" w:rsidRDefault="00E12BB0" w:rsidP="000868C3">
            <w:r>
              <w:t>Additional – 3.1 A&amp;B, 2.3 A&amp;B, 2.4 A</w:t>
            </w:r>
          </w:p>
        </w:tc>
        <w:tc>
          <w:tcPr>
            <w:tcW w:w="1793" w:type="dxa"/>
          </w:tcPr>
          <w:p w:rsidR="000868C3" w:rsidRDefault="00E12BB0" w:rsidP="000868C3">
            <w:r>
              <w:t>Latino families in rural Benton County</w:t>
            </w:r>
          </w:p>
        </w:tc>
        <w:tc>
          <w:tcPr>
            <w:tcW w:w="1783" w:type="dxa"/>
          </w:tcPr>
          <w:p w:rsidR="000868C3" w:rsidRDefault="00E12BB0" w:rsidP="000868C3">
            <w:r>
              <w:t>Old Mill Center</w:t>
            </w:r>
          </w:p>
        </w:tc>
        <w:tc>
          <w:tcPr>
            <w:tcW w:w="1760" w:type="dxa"/>
          </w:tcPr>
          <w:p w:rsidR="000868C3" w:rsidRDefault="00943920" w:rsidP="000868C3">
            <w:r>
              <w:t xml:space="preserve">Ongoing with contract period from </w:t>
            </w:r>
            <w:r w:rsidR="00E12BB0">
              <w:t>October 2017 to June 2019</w:t>
            </w:r>
          </w:p>
        </w:tc>
        <w:tc>
          <w:tcPr>
            <w:tcW w:w="2397" w:type="dxa"/>
          </w:tcPr>
          <w:p w:rsidR="00E12BB0" w:rsidRDefault="00E12BB0" w:rsidP="000868C3">
            <w:r w:rsidRPr="00E12BB0">
              <w:t>Quarterly completion of Hub Data Collection Form</w:t>
            </w:r>
          </w:p>
          <w:p w:rsidR="000868C3" w:rsidRDefault="00E12BB0" w:rsidP="000868C3">
            <w:r w:rsidRPr="00E12BB0">
              <w:t>Vista Logic Database – Number of entries, closed looped referrals</w:t>
            </w:r>
          </w:p>
        </w:tc>
        <w:tc>
          <w:tcPr>
            <w:tcW w:w="1851" w:type="dxa"/>
          </w:tcPr>
          <w:p w:rsidR="000868C3" w:rsidRDefault="00E12BB0" w:rsidP="000868C3">
            <w:r>
              <w:t>Family Stability Funds</w:t>
            </w:r>
          </w:p>
        </w:tc>
      </w:tr>
      <w:tr w:rsidR="00943920" w:rsidTr="00943920">
        <w:tc>
          <w:tcPr>
            <w:tcW w:w="1806" w:type="dxa"/>
          </w:tcPr>
          <w:p w:rsidR="00E12BB0" w:rsidRDefault="00E12BB0" w:rsidP="00E12BB0">
            <w:r>
              <w:t>Linn County Relief Nursery Expansion</w:t>
            </w:r>
          </w:p>
        </w:tc>
        <w:tc>
          <w:tcPr>
            <w:tcW w:w="1786" w:type="dxa"/>
          </w:tcPr>
          <w:p w:rsidR="00E12BB0" w:rsidRDefault="00E12BB0" w:rsidP="00E12BB0">
            <w:r>
              <w:t>Primary – 3.3 A&amp;B</w:t>
            </w:r>
          </w:p>
          <w:p w:rsidR="00E12BB0" w:rsidRDefault="00E12BB0" w:rsidP="00E12BB0">
            <w:r>
              <w:t>Additional – 3.1 A&amp;B, 2.3 A&amp;B, 2.4 A</w:t>
            </w:r>
          </w:p>
        </w:tc>
        <w:tc>
          <w:tcPr>
            <w:tcW w:w="1793" w:type="dxa"/>
          </w:tcPr>
          <w:p w:rsidR="00E12BB0" w:rsidRDefault="00E12BB0" w:rsidP="00E12BB0">
            <w:r>
              <w:t>Latino families with toddlers in Linn County</w:t>
            </w:r>
          </w:p>
        </w:tc>
        <w:tc>
          <w:tcPr>
            <w:tcW w:w="1783" w:type="dxa"/>
          </w:tcPr>
          <w:p w:rsidR="00E12BB0" w:rsidRDefault="00E12BB0" w:rsidP="00E12BB0">
            <w:r>
              <w:t>Family Tree Relief Nursery</w:t>
            </w:r>
          </w:p>
        </w:tc>
        <w:tc>
          <w:tcPr>
            <w:tcW w:w="1760" w:type="dxa"/>
          </w:tcPr>
          <w:p w:rsidR="00E12BB0" w:rsidRDefault="00943920" w:rsidP="00E12BB0">
            <w:r>
              <w:t xml:space="preserve">Ongoing with contract period from </w:t>
            </w:r>
            <w:r w:rsidR="00E12BB0">
              <w:t>October 2017 to June 2019</w:t>
            </w:r>
          </w:p>
        </w:tc>
        <w:tc>
          <w:tcPr>
            <w:tcW w:w="2397" w:type="dxa"/>
          </w:tcPr>
          <w:p w:rsidR="00E12BB0" w:rsidRDefault="00E12BB0" w:rsidP="00E12BB0">
            <w:r w:rsidRPr="00E12BB0">
              <w:t>Quarterly completion of Hub Data Collection Form</w:t>
            </w:r>
          </w:p>
          <w:p w:rsidR="00E12BB0" w:rsidRDefault="00E12BB0" w:rsidP="00E12BB0">
            <w:r w:rsidRPr="00E12BB0">
              <w:t>Vista Logic Database – Number of entries, closed looped referrals</w:t>
            </w:r>
          </w:p>
        </w:tc>
        <w:tc>
          <w:tcPr>
            <w:tcW w:w="1851" w:type="dxa"/>
          </w:tcPr>
          <w:p w:rsidR="00E12BB0" w:rsidRDefault="00E12BB0" w:rsidP="00E12BB0">
            <w:r>
              <w:t>Title IV-B2 Funds</w:t>
            </w:r>
          </w:p>
        </w:tc>
      </w:tr>
      <w:tr w:rsidR="0071636B" w:rsidTr="00943920">
        <w:tc>
          <w:tcPr>
            <w:tcW w:w="1806" w:type="dxa"/>
          </w:tcPr>
          <w:p w:rsidR="0071636B" w:rsidRDefault="0071636B" w:rsidP="00E12BB0">
            <w:r>
              <w:t>Bilingual Classroom Assistant/Parent Support Navigator</w:t>
            </w:r>
          </w:p>
        </w:tc>
        <w:tc>
          <w:tcPr>
            <w:tcW w:w="1786" w:type="dxa"/>
          </w:tcPr>
          <w:p w:rsidR="0071636B" w:rsidRDefault="0071636B" w:rsidP="00E12BB0">
            <w:r>
              <w:t xml:space="preserve">Primary – 3.1 A, </w:t>
            </w:r>
          </w:p>
          <w:p w:rsidR="0071636B" w:rsidRDefault="0071636B" w:rsidP="00E12BB0">
            <w:r>
              <w:t>3.3 A &amp; 3.4 A</w:t>
            </w:r>
          </w:p>
        </w:tc>
        <w:tc>
          <w:tcPr>
            <w:tcW w:w="1793" w:type="dxa"/>
          </w:tcPr>
          <w:p w:rsidR="0071636B" w:rsidRDefault="0071636B" w:rsidP="00E12BB0">
            <w:r>
              <w:t>All families attending the Waverly Child Development Center</w:t>
            </w:r>
          </w:p>
        </w:tc>
        <w:tc>
          <w:tcPr>
            <w:tcW w:w="1783" w:type="dxa"/>
          </w:tcPr>
          <w:p w:rsidR="0071636B" w:rsidRDefault="0071636B" w:rsidP="00E12BB0">
            <w:r>
              <w:t>Greater Albany Public Schools &amp; Waverly Elementary School</w:t>
            </w:r>
          </w:p>
        </w:tc>
        <w:tc>
          <w:tcPr>
            <w:tcW w:w="1760" w:type="dxa"/>
          </w:tcPr>
          <w:p w:rsidR="0071636B" w:rsidRDefault="0071636B" w:rsidP="00E12BB0">
            <w:r w:rsidRPr="0071636B">
              <w:t>2017-2018 School year &amp; 2018-2019 School Year</w:t>
            </w:r>
          </w:p>
        </w:tc>
        <w:tc>
          <w:tcPr>
            <w:tcW w:w="2397" w:type="dxa"/>
          </w:tcPr>
          <w:p w:rsidR="0071636B" w:rsidRDefault="0071636B" w:rsidP="0071636B">
            <w:r>
              <w:t>Family Event Survey conducted at the end of each school year.</w:t>
            </w:r>
          </w:p>
          <w:p w:rsidR="0071636B" w:rsidRDefault="0071636B" w:rsidP="0071636B">
            <w:r>
              <w:t>Ongoing analysis of KA data for district. Quarterly completion of Hub Data Collection Form</w:t>
            </w:r>
          </w:p>
          <w:p w:rsidR="0071636B" w:rsidRPr="00E12BB0" w:rsidRDefault="0071636B" w:rsidP="0071636B">
            <w:r w:rsidRPr="00E12BB0">
              <w:t>Vista Logic Database – Number of entries, closed looped referrals</w:t>
            </w:r>
          </w:p>
        </w:tc>
        <w:tc>
          <w:tcPr>
            <w:tcW w:w="1851" w:type="dxa"/>
          </w:tcPr>
          <w:p w:rsidR="0071636B" w:rsidRDefault="0071636B" w:rsidP="00E12BB0">
            <w:r>
              <w:t xml:space="preserve">Title IV-B2 Funds </w:t>
            </w:r>
          </w:p>
          <w:p w:rsidR="0071636B" w:rsidRDefault="0071636B" w:rsidP="00E12BB0">
            <w:r>
              <w:t>Funds (this program also receives KPI funds that support the classroom teacher)</w:t>
            </w:r>
          </w:p>
        </w:tc>
      </w:tr>
    </w:tbl>
    <w:p w:rsidR="00943920" w:rsidRDefault="00943920"/>
    <w:sectPr w:rsidR="00943920" w:rsidSect="005C077B">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DB9" w:rsidRDefault="001A7DB9" w:rsidP="004549E5">
      <w:pPr>
        <w:spacing w:after="0" w:line="240" w:lineRule="auto"/>
      </w:pPr>
      <w:r>
        <w:separator/>
      </w:r>
    </w:p>
  </w:endnote>
  <w:endnote w:type="continuationSeparator" w:id="0">
    <w:p w:rsidR="001A7DB9" w:rsidRDefault="001A7DB9" w:rsidP="0045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haroni">
    <w:altName w:val="Segoe UI Semibold"/>
    <w:charset w:val="00"/>
    <w:family w:val="auto"/>
    <w:pitch w:val="variable"/>
    <w:sig w:usb0="00000000"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DB9" w:rsidRDefault="001A7DB9" w:rsidP="004549E5">
      <w:pPr>
        <w:spacing w:after="0" w:line="240" w:lineRule="auto"/>
      </w:pPr>
      <w:r>
        <w:separator/>
      </w:r>
    </w:p>
  </w:footnote>
  <w:footnote w:type="continuationSeparator" w:id="0">
    <w:p w:rsidR="001A7DB9" w:rsidRDefault="001A7DB9" w:rsidP="00454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FC" w:rsidRDefault="004549E5" w:rsidP="00A174FC">
    <w:pPr>
      <w:pStyle w:val="Header"/>
      <w:jc w:val="center"/>
      <w:rPr>
        <w:rFonts w:ascii="Arial" w:hAnsi="Arial" w:cs="Arial"/>
        <w:b/>
        <w:sz w:val="32"/>
        <w:szCs w:val="32"/>
      </w:rPr>
    </w:pPr>
    <w:r>
      <w:rPr>
        <w:noProof/>
      </w:rPr>
      <w:drawing>
        <wp:anchor distT="0" distB="0" distL="114300" distR="114300" simplePos="0" relativeHeight="251658240" behindDoc="1" locked="0" layoutInCell="1" allowOverlap="1">
          <wp:simplePos x="0" y="0"/>
          <wp:positionH relativeFrom="column">
            <wp:posOffset>189891</wp:posOffset>
          </wp:positionH>
          <wp:positionV relativeFrom="paragraph">
            <wp:posOffset>-87782</wp:posOffset>
          </wp:positionV>
          <wp:extent cx="982980" cy="969781"/>
          <wp:effectExtent l="0" t="0" r="762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980" cy="969781"/>
                  </a:xfrm>
                  <a:prstGeom prst="rect">
                    <a:avLst/>
                  </a:prstGeom>
                </pic:spPr>
              </pic:pic>
            </a:graphicData>
          </a:graphic>
          <wp14:sizeRelH relativeFrom="page">
            <wp14:pctWidth>0</wp14:pctWidth>
          </wp14:sizeRelH>
          <wp14:sizeRelV relativeFrom="page">
            <wp14:pctHeight>0</wp14:pctHeight>
          </wp14:sizeRelV>
        </wp:anchor>
      </w:drawing>
    </w:r>
    <w:r w:rsidR="00A174FC">
      <w:rPr>
        <w:rFonts w:ascii="Arial" w:hAnsi="Arial" w:cs="Arial"/>
        <w:b/>
        <w:sz w:val="32"/>
        <w:szCs w:val="32"/>
      </w:rPr>
      <w:t>Annual Work Plan for:</w:t>
    </w:r>
  </w:p>
  <w:p w:rsidR="004549E5" w:rsidRDefault="004549E5" w:rsidP="00BA4B79">
    <w:pPr>
      <w:pStyle w:val="Header"/>
      <w:jc w:val="center"/>
      <w:rPr>
        <w:rFonts w:ascii="Arial" w:hAnsi="Arial" w:cs="Arial"/>
        <w:b/>
        <w:sz w:val="28"/>
      </w:rPr>
    </w:pPr>
    <w:r w:rsidRPr="00CC23A3">
      <w:rPr>
        <w:rFonts w:ascii="Arial" w:hAnsi="Arial" w:cs="Arial"/>
        <w:b/>
        <w:sz w:val="32"/>
        <w:szCs w:val="32"/>
      </w:rPr>
      <w:t>Early Learning Hub</w:t>
    </w:r>
    <w:r w:rsidR="00A174FC">
      <w:rPr>
        <w:rFonts w:ascii="Arial" w:hAnsi="Arial" w:cs="Arial"/>
        <w:b/>
        <w:sz w:val="32"/>
        <w:szCs w:val="32"/>
      </w:rPr>
      <w:t xml:space="preserve"> of Linn, Benton &amp; Lincoln Counties</w:t>
    </w:r>
  </w:p>
  <w:p w:rsidR="004549E5" w:rsidRDefault="004549E5" w:rsidP="00BA4B79">
    <w:pPr>
      <w:pStyle w:val="Header"/>
      <w:jc w:val="center"/>
      <w:rPr>
        <w:rFonts w:ascii="Arial" w:hAnsi="Arial" w:cs="Arial"/>
        <w:sz w:val="24"/>
      </w:rPr>
    </w:pPr>
    <w:r w:rsidRPr="00D7702A">
      <w:rPr>
        <w:rFonts w:ascii="Arial" w:hAnsi="Arial" w:cs="Arial"/>
        <w:sz w:val="24"/>
      </w:rPr>
      <w:t xml:space="preserve">Plan Period: </w:t>
    </w:r>
    <w:r>
      <w:rPr>
        <w:rFonts w:ascii="Arial" w:hAnsi="Arial" w:cs="Arial"/>
        <w:sz w:val="24"/>
      </w:rPr>
      <w:t>Oct 1, 2017</w:t>
    </w:r>
    <w:r w:rsidRPr="00D7702A">
      <w:rPr>
        <w:rFonts w:ascii="Arial" w:hAnsi="Arial" w:cs="Arial"/>
        <w:sz w:val="24"/>
      </w:rPr>
      <w:t xml:space="preserve"> – </w:t>
    </w:r>
    <w:r>
      <w:rPr>
        <w:rFonts w:ascii="Arial" w:hAnsi="Arial" w:cs="Arial"/>
        <w:sz w:val="24"/>
      </w:rPr>
      <w:t>Sept 30, 20</w:t>
    </w:r>
    <w:r w:rsidR="00A67CC8">
      <w:rPr>
        <w:rFonts w:ascii="Arial" w:hAnsi="Arial" w:cs="Arial"/>
        <w:sz w:val="24"/>
      </w:rPr>
      <w:t>18</w:t>
    </w:r>
  </w:p>
  <w:p w:rsidR="00A67CC8" w:rsidRPr="00D7702A" w:rsidRDefault="00A67CC8" w:rsidP="00BA4B79">
    <w:pPr>
      <w:pStyle w:val="Header"/>
      <w:jc w:val="center"/>
      <w:rPr>
        <w:sz w:val="24"/>
      </w:rPr>
    </w:pPr>
    <w:r>
      <w:rPr>
        <w:rFonts w:ascii="Arial" w:hAnsi="Arial" w:cs="Arial"/>
        <w:sz w:val="24"/>
      </w:rPr>
      <w:t>Updates for Oct 1, 2018-Sept 30, 2019</w:t>
    </w:r>
  </w:p>
  <w:p w:rsidR="004549E5" w:rsidRDefault="004549E5" w:rsidP="004549E5">
    <w:pPr>
      <w:pStyle w:val="Header"/>
    </w:pPr>
    <w:r>
      <w:tab/>
    </w:r>
  </w:p>
  <w:p w:rsidR="004549E5" w:rsidRDefault="00454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D5DD2"/>
    <w:multiLevelType w:val="multilevel"/>
    <w:tmpl w:val="FA7AA772"/>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4864C9"/>
    <w:multiLevelType w:val="multilevel"/>
    <w:tmpl w:val="8B3602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4F358A5"/>
    <w:multiLevelType w:val="multilevel"/>
    <w:tmpl w:val="E5FCA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7B"/>
    <w:rsid w:val="00022FD8"/>
    <w:rsid w:val="00070BB8"/>
    <w:rsid w:val="000868C3"/>
    <w:rsid w:val="000A2AA7"/>
    <w:rsid w:val="000F6C04"/>
    <w:rsid w:val="00101859"/>
    <w:rsid w:val="00165821"/>
    <w:rsid w:val="00194050"/>
    <w:rsid w:val="001A7DB9"/>
    <w:rsid w:val="001D0AEB"/>
    <w:rsid w:val="00200227"/>
    <w:rsid w:val="002E372B"/>
    <w:rsid w:val="003416AF"/>
    <w:rsid w:val="00364475"/>
    <w:rsid w:val="003C0C20"/>
    <w:rsid w:val="003C2A07"/>
    <w:rsid w:val="003D4CBD"/>
    <w:rsid w:val="004549E5"/>
    <w:rsid w:val="00545A15"/>
    <w:rsid w:val="00565062"/>
    <w:rsid w:val="005664A1"/>
    <w:rsid w:val="005944E7"/>
    <w:rsid w:val="005B06DB"/>
    <w:rsid w:val="005C077B"/>
    <w:rsid w:val="005F50D4"/>
    <w:rsid w:val="00606819"/>
    <w:rsid w:val="0060716B"/>
    <w:rsid w:val="00644485"/>
    <w:rsid w:val="00655BF7"/>
    <w:rsid w:val="00666FF0"/>
    <w:rsid w:val="00683582"/>
    <w:rsid w:val="0071636B"/>
    <w:rsid w:val="00736952"/>
    <w:rsid w:val="00766E49"/>
    <w:rsid w:val="007A0AF9"/>
    <w:rsid w:val="007E14D6"/>
    <w:rsid w:val="00855B94"/>
    <w:rsid w:val="008E2DFD"/>
    <w:rsid w:val="009003F1"/>
    <w:rsid w:val="009132AE"/>
    <w:rsid w:val="00914ED7"/>
    <w:rsid w:val="00917DEA"/>
    <w:rsid w:val="009210C9"/>
    <w:rsid w:val="009217A5"/>
    <w:rsid w:val="0093535A"/>
    <w:rsid w:val="00943920"/>
    <w:rsid w:val="009B23D8"/>
    <w:rsid w:val="009E332E"/>
    <w:rsid w:val="00A174FC"/>
    <w:rsid w:val="00A67CC8"/>
    <w:rsid w:val="00A71D7F"/>
    <w:rsid w:val="00AD2C9E"/>
    <w:rsid w:val="00B10245"/>
    <w:rsid w:val="00B62A0E"/>
    <w:rsid w:val="00B62C5E"/>
    <w:rsid w:val="00B77D40"/>
    <w:rsid w:val="00BA4B79"/>
    <w:rsid w:val="00C36459"/>
    <w:rsid w:val="00C824E2"/>
    <w:rsid w:val="00CA12E6"/>
    <w:rsid w:val="00CD48E4"/>
    <w:rsid w:val="00D106EF"/>
    <w:rsid w:val="00D14A90"/>
    <w:rsid w:val="00D3414D"/>
    <w:rsid w:val="00DC028F"/>
    <w:rsid w:val="00E12BB0"/>
    <w:rsid w:val="00E3185C"/>
    <w:rsid w:val="00E71D34"/>
    <w:rsid w:val="00E96C2A"/>
    <w:rsid w:val="00ED7E23"/>
    <w:rsid w:val="00EE22C0"/>
    <w:rsid w:val="00F035CD"/>
    <w:rsid w:val="00F1086B"/>
    <w:rsid w:val="00FF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874BAD"/>
  <w15:docId w15:val="{D6EEA57D-C207-4CC0-A33E-E52CE40B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4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9E5"/>
  </w:style>
  <w:style w:type="paragraph" w:styleId="Footer">
    <w:name w:val="footer"/>
    <w:basedOn w:val="Normal"/>
    <w:link w:val="FooterChar"/>
    <w:uiPriority w:val="99"/>
    <w:unhideWhenUsed/>
    <w:rsid w:val="00454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9E5"/>
  </w:style>
  <w:style w:type="paragraph" w:styleId="BalloonText">
    <w:name w:val="Balloon Text"/>
    <w:basedOn w:val="Normal"/>
    <w:link w:val="BalloonTextChar"/>
    <w:uiPriority w:val="99"/>
    <w:semiHidden/>
    <w:unhideWhenUsed/>
    <w:rsid w:val="00454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E5"/>
    <w:rPr>
      <w:rFonts w:ascii="Tahoma" w:hAnsi="Tahoma" w:cs="Tahoma"/>
      <w:sz w:val="16"/>
      <w:szCs w:val="16"/>
    </w:rPr>
  </w:style>
  <w:style w:type="paragraph" w:styleId="ListParagraph">
    <w:name w:val="List Paragraph"/>
    <w:basedOn w:val="Normal"/>
    <w:uiPriority w:val="34"/>
    <w:qFormat/>
    <w:rsid w:val="00BA4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10</Pages>
  <Words>2174</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SWANSON Denise - ELD</dc:creator>
  <cp:lastModifiedBy>Kristi May</cp:lastModifiedBy>
  <cp:revision>9</cp:revision>
  <dcterms:created xsi:type="dcterms:W3CDTF">2017-10-12T16:29:00Z</dcterms:created>
  <dcterms:modified xsi:type="dcterms:W3CDTF">2017-11-06T22:54:00Z</dcterms:modified>
</cp:coreProperties>
</file>